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СОГЛАСИЕ</w:t>
      </w:r>
    </w:p>
    <w:p>
      <w:pPr>
        <w:pStyle w:val="Heading2"/>
      </w:pPr>
      <w:r>
        <w:t>на получение рекламных и маркетинговых сообщений и обработку персональных данных в целях их направления</w:t>
      </w:r>
    </w:p>
    <w:p>
      <w:r>
        <w:rPr>
          <w:b/>
        </w:rPr>
        <w:t>Редакция от 16 августа 2026 года</w:t>
      </w:r>
    </w:p>
    <w:p>
      <w:r>
        <w:t>---</w:t>
      </w:r>
    </w:p>
    <w:p>
      <w:pPr>
        <w:pStyle w:val="Heading2"/>
      </w:pPr>
      <w:r>
        <w:t>1. Общие положения</w:t>
      </w:r>
    </w:p>
    <w:p>
      <w:pPr>
        <w:pStyle w:val="Heading3"/>
      </w:pPr>
      <w:r>
        <w:t>1.1.</w:t>
      </w:r>
    </w:p>
    <w:p>
      <w:r>
        <w:t xml:space="preserve">Настоящим лицо, подтверждающее настоящее Согласие в интерфейсе Tunyx, далее — </w:t>
      </w:r>
      <w:r>
        <w:rPr>
          <w:b/>
        </w:rPr>
        <w:t>«Получатель»</w:t>
      </w:r>
      <w:r>
        <w:t xml:space="preserve"> или </w:t>
      </w:r>
      <w:r>
        <w:rPr>
          <w:b/>
        </w:rPr>
        <w:t>«Субъект персональных данных»</w:t>
      </w:r>
      <w:r>
        <w:t>, свободно, своей волей и в своём интересе предоставляет:</w:t>
      </w:r>
    </w:p>
    <w:p>
      <w:r>
        <w:rPr>
          <w:b/>
        </w:rPr>
        <w:t>Коршунову Федору Михайловичу</w:t>
      </w:r>
      <w:r>
        <w:t>, физическому лицу, применяющему специальный налоговый режим «Налог на профессиональный доход», ИНН 471515088067, место осуществления деятельности: Российская Федерация, г. Санкт-Петербург,</w:t>
      </w:r>
    </w:p>
    <w:p>
      <w:r>
        <w:t xml:space="preserve">далее — </w:t>
      </w:r>
      <w:r>
        <w:rPr>
          <w:b/>
        </w:rPr>
        <w:t>«Оператор»</w:t>
      </w:r>
      <w:r>
        <w:t xml:space="preserve">, </w:t>
      </w:r>
      <w:r>
        <w:rPr>
          <w:b/>
        </w:rPr>
        <w:t>«Рекламодатель»</w:t>
      </w:r>
      <w:r>
        <w:t xml:space="preserve"> или </w:t>
      </w:r>
      <w:r>
        <w:rPr>
          <w:b/>
        </w:rPr>
        <w:t>«Tunyx»</w:t>
      </w:r>
      <w:r>
        <w:t>,</w:t>
      </w:r>
    </w:p>
    <w:p>
      <w:r>
        <w:t>согласие:</w:t>
      </w:r>
    </w:p>
    <w:p>
      <w:pPr>
        <w:pStyle w:val="ListNumber"/>
      </w:pPr>
      <w:r>
        <w:t>на получение рекламных и маркетинговых сообщений Tunyx;</w:t>
      </w:r>
    </w:p>
    <w:p>
      <w:pPr>
        <w:pStyle w:val="ListNumber"/>
      </w:pPr>
      <w:r>
        <w:t>на обработку персональных данных в целях подготовки, направления и учёта таких сообщений.</w:t>
      </w:r>
    </w:p>
    <w:p>
      <w:pPr>
        <w:pStyle w:val="Heading3"/>
      </w:pPr>
      <w:r>
        <w:t>1.2.</w:t>
      </w:r>
    </w:p>
    <w:p>
      <w:r>
        <w:t>Согласие относится к сервису Tunyx, доступному по адресу:</w:t>
      </w:r>
    </w:p>
    <w:p>
      <w:fldSimple w:instr="HYPERLINK &quot;https://tunyx.ru/&quot;">
        <w:r>
          <w:t>`https://tunyx.ru/`</w:t>
        </w:r>
      </w:fldSimple>
    </w:p>
    <w:p>
      <w:r>
        <w:t>а также к связанным веб-интерфейсам, Аккаунту и Android-приложению.</w:t>
      </w:r>
    </w:p>
    <w:p>
      <w:pPr>
        <w:pStyle w:val="Heading3"/>
      </w:pPr>
      <w:r>
        <w:t>1.3.</w:t>
      </w:r>
    </w:p>
    <w:p>
      <w:r>
        <w:t>Настоящее Согласие оформляется отдельно от:</w:t>
      </w:r>
    </w:p>
    <w:p>
      <w:pPr>
        <w:pStyle w:val="ListBullet"/>
      </w:pPr>
      <w:r>
        <w:t>Публичной оферты;</w:t>
      </w:r>
    </w:p>
    <w:p>
      <w:pPr>
        <w:pStyle w:val="ListBullet"/>
      </w:pPr>
      <w:r>
        <w:t>Пользовательского соглашения;</w:t>
      </w:r>
    </w:p>
    <w:p>
      <w:pPr>
        <w:pStyle w:val="ListBullet"/>
      </w:pPr>
      <w:r>
        <w:t>общего согласия на обработку персональных данных;</w:t>
      </w:r>
    </w:p>
    <w:p>
      <w:pPr>
        <w:pStyle w:val="ListBullet"/>
      </w:pPr>
      <w:r>
        <w:t>согласия на распространение персональных данных;</w:t>
      </w:r>
    </w:p>
    <w:p>
      <w:pPr>
        <w:pStyle w:val="ListBullet"/>
      </w:pPr>
      <w:r>
        <w:t>Политики использования cookies;</w:t>
      </w:r>
    </w:p>
    <w:p>
      <w:pPr>
        <w:pStyle w:val="ListBullet"/>
      </w:pPr>
      <w:r>
        <w:t>иных подтверждаемых Пользователем документов.</w:t>
      </w:r>
    </w:p>
    <w:p>
      <w:r>
        <w:t>С 1 сентября 2025 года согласие на обработку персональных данных должно оформляться отдельно от иных подтверждаемых субъектом документов.</w:t>
      </w:r>
    </w:p>
    <w:p>
      <w:pPr>
        <w:pStyle w:val="Heading3"/>
      </w:pPr>
      <w:r>
        <w:t>1.4.</w:t>
      </w:r>
    </w:p>
    <w:p>
      <w:r>
        <w:t>Предоставление настоящего Согласия:</w:t>
      </w:r>
    </w:p>
    <w:p>
      <w:pPr>
        <w:pStyle w:val="ListBullet"/>
      </w:pPr>
      <w:r>
        <w:t>является добровольным;</w:t>
      </w:r>
    </w:p>
    <w:p>
      <w:pPr>
        <w:pStyle w:val="ListBullet"/>
      </w:pPr>
      <w:r>
        <w:t>не является обязательным условием регистрации;</w:t>
      </w:r>
    </w:p>
    <w:p>
      <w:pPr>
        <w:pStyle w:val="ListBullet"/>
      </w:pPr>
      <w:r>
        <w:t>не является обязательным условием покупки Тарифа;</w:t>
      </w:r>
    </w:p>
    <w:p>
      <w:pPr>
        <w:pStyle w:val="ListBullet"/>
      </w:pPr>
      <w:r>
        <w:t>не влияет на возможность получать необходимые сервисные сообщения;</w:t>
      </w:r>
    </w:p>
    <w:p>
      <w:pPr>
        <w:pStyle w:val="ListBullet"/>
      </w:pPr>
      <w:r>
        <w:t>может быть отменено в любое время.</w:t>
      </w:r>
    </w:p>
    <w:p>
      <w:r>
        <w:t>---</w:t>
      </w:r>
    </w:p>
    <w:p>
      <w:pPr>
        <w:pStyle w:val="Heading1"/>
      </w:pPr>
      <w:r>
        <w:t>2. Способ предоставления Согласия</w:t>
      </w:r>
    </w:p>
    <w:p>
      <w:pPr>
        <w:pStyle w:val="Heading3"/>
      </w:pPr>
      <w:r>
        <w:t>2.1.</w:t>
      </w:r>
    </w:p>
    <w:p>
      <w:r>
        <w:t>Согласие предоставляется посредством самостоятельного активного действия Получателя, включая установку отметки в отдельном незаполненном чекбоксе.</w:t>
      </w:r>
    </w:p>
    <w:p>
      <w:r>
        <w:t>Рекомендуемый текст:</w:t>
      </w:r>
    </w:p>
    <w:p>
      <w:r>
        <w:t xml:space="preserve">&gt; </w:t>
      </w:r>
      <w:r>
        <w:rPr>
          <w:b/>
        </w:rPr>
        <w:t>Я согласен получать рекламные и маркетинговые сообщения Tunyx и разрешаю обработку моих персональных данных для их направления.</w:t>
      </w:r>
    </w:p>
    <w:p>
      <w:pPr>
        <w:pStyle w:val="Heading3"/>
      </w:pPr>
      <w:r>
        <w:t>2.2.</w:t>
      </w:r>
    </w:p>
    <w:p>
      <w:r>
        <w:t>Рядом с чекбоксом размещается ссылка на полный текст настоящего Согласия.</w:t>
      </w:r>
    </w:p>
    <w:p>
      <w:pPr>
        <w:pStyle w:val="Heading3"/>
      </w:pPr>
      <w:r>
        <w:t>2.3.</w:t>
      </w:r>
    </w:p>
    <w:p>
      <w:r>
        <w:t>Чекбокс:</w:t>
      </w:r>
    </w:p>
    <w:p>
      <w:pPr>
        <w:pStyle w:val="ListBullet"/>
      </w:pPr>
      <w:r>
        <w:t>не должен быть установлен заранее;</w:t>
      </w:r>
    </w:p>
    <w:p>
      <w:pPr>
        <w:pStyle w:val="ListBullet"/>
      </w:pPr>
      <w:r>
        <w:t>не должен объединяться с принятием Оферты;</w:t>
      </w:r>
    </w:p>
    <w:p>
      <w:pPr>
        <w:pStyle w:val="ListBullet"/>
      </w:pPr>
      <w:r>
        <w:t>не должен объединяться с Пользовательским соглашением;</w:t>
      </w:r>
    </w:p>
    <w:p>
      <w:pPr>
        <w:pStyle w:val="ListBullet"/>
      </w:pPr>
      <w:r>
        <w:t>не должен быть обязательным для создания Аккаунта;</w:t>
      </w:r>
    </w:p>
    <w:p>
      <w:pPr>
        <w:pStyle w:val="ListBullet"/>
      </w:pPr>
      <w:r>
        <w:t>не должен считаться подтверждённым вследствие молчания или бездействия.</w:t>
      </w:r>
    </w:p>
    <w:p>
      <w:pPr>
        <w:pStyle w:val="Heading3"/>
      </w:pPr>
      <w:r>
        <w:t>2.4.</w:t>
      </w:r>
    </w:p>
    <w:p>
      <w:r>
        <w:t>Нажатие кнопки регистрации, покупки или продолжения работы без отдельной отметки не считается предоставлением рекламного согласия.</w:t>
      </w:r>
    </w:p>
    <w:p>
      <w:pPr>
        <w:pStyle w:val="Heading3"/>
      </w:pPr>
      <w:r>
        <w:t>2.5.</w:t>
      </w:r>
    </w:p>
    <w:p>
      <w:r>
        <w:t>Согласие может также предоставляться в настройках Аккаунта или при подключении отдельного канала маркетинговых уведомлений.</w:t>
      </w:r>
    </w:p>
    <w:p>
      <w:r>
        <w:t>---</w:t>
      </w:r>
    </w:p>
    <w:p>
      <w:pPr>
        <w:pStyle w:val="Heading1"/>
      </w:pPr>
      <w:r>
        <w:t>3. Содержание сообщений</w:t>
      </w:r>
    </w:p>
    <w:p>
      <w:pPr>
        <w:pStyle w:val="Heading3"/>
      </w:pPr>
      <w:r>
        <w:t>3.1.</w:t>
      </w:r>
    </w:p>
    <w:p>
      <w:r>
        <w:t>При наличии Согласия Tunyx вправе направлять сообщения, содержащие сведения о:</w:t>
      </w:r>
    </w:p>
    <w:p>
      <w:pPr>
        <w:pStyle w:val="ListNumber"/>
      </w:pPr>
      <w:r>
        <w:t>новых функциях Tunyx;</w:t>
      </w:r>
    </w:p>
    <w:p>
      <w:pPr>
        <w:pStyle w:val="ListNumber"/>
      </w:pPr>
      <w:r>
        <w:t>новых музыкальных интеграциях;</w:t>
      </w:r>
    </w:p>
    <w:p>
      <w:pPr>
        <w:pStyle w:val="ListNumber"/>
      </w:pPr>
      <w:r>
        <w:t>новых Тарифах;</w:t>
      </w:r>
    </w:p>
    <w:p>
      <w:pPr>
        <w:pStyle w:val="ListNumber"/>
      </w:pPr>
      <w:r>
        <w:t>изменениях Тарифов;</w:t>
      </w:r>
    </w:p>
    <w:p>
      <w:pPr>
        <w:pStyle w:val="ListNumber"/>
      </w:pPr>
      <w:r>
        <w:t>скидках;</w:t>
      </w:r>
    </w:p>
    <w:p>
      <w:pPr>
        <w:pStyle w:val="ListNumber"/>
      </w:pPr>
      <w:r>
        <w:t>акциях;</w:t>
      </w:r>
    </w:p>
    <w:p>
      <w:pPr>
        <w:pStyle w:val="ListNumber"/>
      </w:pPr>
      <w:r>
        <w:t>бесплатных периодах;</w:t>
      </w:r>
    </w:p>
    <w:p>
      <w:pPr>
        <w:pStyle w:val="ListNumber"/>
      </w:pPr>
      <w:r>
        <w:t>промокодах;</w:t>
      </w:r>
    </w:p>
    <w:p>
      <w:pPr>
        <w:pStyle w:val="ListNumber"/>
      </w:pPr>
      <w:r>
        <w:t>специальных предложениях;</w:t>
      </w:r>
    </w:p>
    <w:p>
      <w:pPr>
        <w:pStyle w:val="ListNumber"/>
      </w:pPr>
      <w:r>
        <w:t>персональных предложениях, если такая функция используется;</w:t>
      </w:r>
    </w:p>
    <w:p>
      <w:pPr>
        <w:pStyle w:val="ListNumber"/>
      </w:pPr>
      <w:r>
        <w:t>конкурсах и иных маркетинговых мероприятиях;</w:t>
      </w:r>
    </w:p>
    <w:p>
      <w:pPr>
        <w:pStyle w:val="ListNumber"/>
      </w:pPr>
      <w:r>
        <w:t>опросах и исследованиях;</w:t>
      </w:r>
    </w:p>
    <w:p>
      <w:pPr>
        <w:pStyle w:val="ListNumber"/>
      </w:pPr>
      <w:r>
        <w:t>предложениях оценить Tunyx;</w:t>
      </w:r>
    </w:p>
    <w:p>
      <w:pPr>
        <w:pStyle w:val="ListNumber"/>
      </w:pPr>
      <w:r>
        <w:t>рекомендациях по использованию возможностей Сервиса;</w:t>
      </w:r>
    </w:p>
    <w:p>
      <w:pPr>
        <w:pStyle w:val="ListNumber"/>
      </w:pPr>
      <w:r>
        <w:t>новостях и обновлениях Tunyx;</w:t>
      </w:r>
    </w:p>
    <w:p>
      <w:pPr>
        <w:pStyle w:val="ListNumber"/>
      </w:pPr>
      <w:r>
        <w:t>иных материалах, направленных на формирование или поддержание интереса к Tunyx и его услугам.</w:t>
      </w:r>
    </w:p>
    <w:p>
      <w:pPr>
        <w:pStyle w:val="Heading3"/>
      </w:pPr>
      <w:r>
        <w:t>3.2.</w:t>
      </w:r>
    </w:p>
    <w:p>
      <w:r>
        <w:t>Сообщение может сочетать информационную и рекламную части.</w:t>
      </w:r>
    </w:p>
    <w:p>
      <w:pPr>
        <w:pStyle w:val="Heading3"/>
      </w:pPr>
      <w:r>
        <w:t>3.3.</w:t>
      </w:r>
    </w:p>
    <w:p>
      <w:r>
        <w:t>Если сообщение содержит предложение приобрести платную услугу, перейти на Тариф, воспользоваться скидкой или иным образом направлено на продвижение Tunyx, оно рассматривается в рамках настоящего Согласия.</w:t>
      </w:r>
    </w:p>
    <w:p>
      <w:pPr>
        <w:pStyle w:val="Heading3"/>
      </w:pPr>
      <w:r>
        <w:t>3.4.</w:t>
      </w:r>
    </w:p>
    <w:p>
      <w:r>
        <w:t>Настоящее Согласие распространяется только на продвижение Tunyx и его собственных услуг, если перед отправкой конкретного сообщения Получателю не было отдельно сообщено иное.</w:t>
      </w:r>
    </w:p>
    <w:p>
      <w:pPr>
        <w:pStyle w:val="Heading3"/>
      </w:pPr>
      <w:r>
        <w:t>3.5.</w:t>
      </w:r>
    </w:p>
    <w:p>
      <w:r>
        <w:t>Tunyx не вправе использовать настоящее Согласие как безусловное разрешение на рекламу любых самостоятельных товаров и услуг третьих лиц.</w:t>
      </w:r>
    </w:p>
    <w:p>
      <w:r>
        <w:t>---</w:t>
      </w:r>
    </w:p>
    <w:p>
      <w:pPr>
        <w:pStyle w:val="Heading1"/>
      </w:pPr>
      <w:r>
        <w:t>4. Каналы направления сообщений</w:t>
      </w:r>
    </w:p>
    <w:p>
      <w:pPr>
        <w:pStyle w:val="Heading3"/>
      </w:pPr>
      <w:r>
        <w:t>4.1.</w:t>
      </w:r>
    </w:p>
    <w:p>
      <w:r>
        <w:t>На дату настоящей редакции рекламные и маркетинговые сообщения Tunyx направляются только по адресу электронной почты подтверждённого Аккаунта.</w:t>
      </w:r>
    </w:p>
    <w:p>
      <w:pPr>
        <w:pStyle w:val="Heading3"/>
      </w:pPr>
      <w:r>
        <w:t>4.2.</w:t>
      </w:r>
    </w:p>
    <w:p>
      <w:r>
        <w:t>Рассылка включается и отключается отдельным переключателем в настройках Аккаунта. Сервисные письма, необходимые для работы Аккаунта, оплаты и безопасности, регулируются отдельно.</w:t>
      </w:r>
    </w:p>
    <w:p>
      <w:pPr>
        <w:pStyle w:val="Heading3"/>
      </w:pPr>
      <w:r>
        <w:t>4.3.</w:t>
      </w:r>
    </w:p>
    <w:p>
      <w:r>
        <w:t>Применение требований о предварительном согласии не ограничивается SMS или электронной почтой. Правила о рекламе по сетям электросвязи распространяются также на мессенджеры и иные приложения для обмена сообщениями.</w:t>
      </w:r>
    </w:p>
    <w:p>
      <w:pPr>
        <w:pStyle w:val="Heading3"/>
      </w:pPr>
      <w:r>
        <w:t>4.4.</w:t>
      </w:r>
    </w:p>
    <w:p>
      <w:r>
        <w:t>Использование технической поддержки, формы обратной связи или Telegram-бота Tunyx само по себе не считается рекламным согласием.</w:t>
      </w:r>
    </w:p>
    <w:p>
      <w:pPr>
        <w:pStyle w:val="Heading3"/>
      </w:pPr>
      <w:r>
        <w:t>4.5.</w:t>
      </w:r>
    </w:p>
    <w:p>
      <w:r>
        <w:t>Предоставление email при регистрации само по себе не является согласием на рекламную рассылку.</w:t>
      </w:r>
    </w:p>
    <w:p>
      <w:r>
        <w:t>---</w:t>
      </w:r>
    </w:p>
    <w:p>
      <w:pPr>
        <w:pStyle w:val="Heading1"/>
      </w:pPr>
      <w:r>
        <w:t>5. Персональные данные</w:t>
      </w:r>
    </w:p>
    <w:p>
      <w:pPr>
        <w:pStyle w:val="Heading3"/>
      </w:pPr>
      <w:r>
        <w:t>5.1.</w:t>
      </w:r>
    </w:p>
    <w:p>
      <w:r>
        <w:t>Для направления рекламных и маркетинговых email-сообщений Tunyx может обрабатывать следующие персональные данные:</w:t>
      </w:r>
    </w:p>
    <w:p>
      <w:pPr>
        <w:pStyle w:val="ListNumber"/>
      </w:pPr>
      <w:r>
        <w:t>имя;</w:t>
      </w:r>
    </w:p>
    <w:p>
      <w:pPr>
        <w:pStyle w:val="ListNumber"/>
      </w:pPr>
      <w:r>
        <w:t>адрес электронной почты;</w:t>
      </w:r>
    </w:p>
    <w:p>
      <w:pPr>
        <w:pStyle w:val="ListNumber"/>
      </w:pPr>
      <w:r>
        <w:t>внутренний идентификатор Аккаунта;</w:t>
      </w:r>
    </w:p>
    <w:p>
      <w:pPr>
        <w:pStyle w:val="ListNumber"/>
      </w:pPr>
      <w:r>
        <w:t>состояние рекламной email-рассылки;</w:t>
      </w:r>
    </w:p>
    <w:p>
      <w:pPr>
        <w:pStyle w:val="ListNumber"/>
      </w:pPr>
      <w:r>
        <w:t>версию документа, дату и время предоставления или отзыва Согласия;</w:t>
      </w:r>
    </w:p>
    <w:p>
      <w:pPr>
        <w:pStyle w:val="ListNumber"/>
      </w:pPr>
      <w:r>
        <w:t>сведения о постановке письма в очередь и результате доставки;</w:t>
      </w:r>
    </w:p>
    <w:p>
      <w:pPr>
        <w:pStyle w:val="ListNumber"/>
      </w:pPr>
      <w:r>
        <w:t>действующий Тариф;</w:t>
      </w:r>
    </w:p>
    <w:p>
      <w:pPr>
        <w:pStyle w:val="ListNumber"/>
      </w:pPr>
      <w:r>
        <w:t>сведения об использовании возможностей Tunyx в объёме, необходимом для формирования соответствующего предложения;</w:t>
      </w:r>
    </w:p>
    <w:p>
      <w:pPr>
        <w:pStyle w:val="ListNumber"/>
      </w:pPr>
      <w:r>
        <w:t>иные минимально необходимые технические сведения.</w:t>
      </w:r>
    </w:p>
    <w:p>
      <w:pPr>
        <w:pStyle w:val="Heading3"/>
      </w:pPr>
      <w:r>
        <w:t>5.2.</w:t>
      </w:r>
    </w:p>
    <w:p>
      <w:r>
        <w:t>Tunyx не должен использовать для рекламной рассылки:</w:t>
      </w:r>
    </w:p>
    <w:p>
      <w:pPr>
        <w:pStyle w:val="ListBullet"/>
      </w:pPr>
      <w:r>
        <w:t>пароли;</w:t>
      </w:r>
    </w:p>
    <w:p>
      <w:pPr>
        <w:pStyle w:val="ListBullet"/>
      </w:pPr>
      <w:r>
        <w:t>полные банковские реквизиты;</w:t>
      </w:r>
    </w:p>
    <w:p>
      <w:pPr>
        <w:pStyle w:val="ListBullet"/>
      </w:pPr>
      <w:r>
        <w:t>CVC/CVV;</w:t>
      </w:r>
    </w:p>
    <w:p>
      <w:pPr>
        <w:pStyle w:val="ListBullet"/>
      </w:pPr>
      <w:r>
        <w:t>токены музыкальных сервисов;</w:t>
      </w:r>
    </w:p>
    <w:p>
      <w:pPr>
        <w:pStyle w:val="ListBullet"/>
      </w:pPr>
      <w:r>
        <w:t>содержимое музыкальной библиотеки, если его использование не требуется и не было отдельно раскрыто Пользователю;</w:t>
      </w:r>
    </w:p>
    <w:p>
      <w:pPr>
        <w:pStyle w:val="ListBullet"/>
      </w:pPr>
      <w:r>
        <w:t>специальные категории персональных данных;</w:t>
      </w:r>
    </w:p>
    <w:p>
      <w:pPr>
        <w:pStyle w:val="ListBullet"/>
      </w:pPr>
      <w:r>
        <w:t>биометрические персональные данные.</w:t>
      </w:r>
    </w:p>
    <w:p>
      <w:pPr>
        <w:pStyle w:val="Heading3"/>
      </w:pPr>
      <w:r>
        <w:t>5.3.</w:t>
      </w:r>
    </w:p>
    <w:p>
      <w:r>
        <w:t>Tunyx не использует для этой рассылки идентификаторы Telegram, ВКонтакте или push-токены Android-приложения.</w:t>
      </w:r>
    </w:p>
    <w:p>
      <w:r>
        <w:t>---</w:t>
      </w:r>
    </w:p>
    <w:p>
      <w:pPr>
        <w:pStyle w:val="Heading1"/>
      </w:pPr>
      <w:r>
        <w:t>6. Цели обработки персональных данных</w:t>
      </w:r>
    </w:p>
    <w:p>
      <w:pPr>
        <w:pStyle w:val="Heading3"/>
      </w:pPr>
      <w:r>
        <w:t>6.1.</w:t>
      </w:r>
    </w:p>
    <w:p>
      <w:r>
        <w:t>Персональные данные обрабатываются для:</w:t>
      </w:r>
    </w:p>
    <w:p>
      <w:pPr>
        <w:pStyle w:val="ListNumber"/>
      </w:pPr>
      <w:r>
        <w:t>направления рекламных и маркетинговых сообщений;</w:t>
      </w:r>
    </w:p>
    <w:p>
      <w:pPr>
        <w:pStyle w:val="ListNumber"/>
      </w:pPr>
      <w:r>
        <w:t>выбора разрешённого канала доставки;</w:t>
      </w:r>
    </w:p>
    <w:p>
      <w:pPr>
        <w:pStyle w:val="ListNumber"/>
      </w:pPr>
      <w:r>
        <w:t>определения адресата;</w:t>
      </w:r>
    </w:p>
    <w:p>
      <w:pPr>
        <w:pStyle w:val="ListNumber"/>
      </w:pPr>
      <w:r>
        <w:t>подтверждения наличия Согласия;</w:t>
      </w:r>
    </w:p>
    <w:p>
      <w:pPr>
        <w:pStyle w:val="ListNumber"/>
      </w:pPr>
      <w:r>
        <w:t>учёта отказа от рассылки;</w:t>
      </w:r>
    </w:p>
    <w:p>
      <w:pPr>
        <w:pStyle w:val="ListNumber"/>
      </w:pPr>
      <w:r>
        <w:t>предотвращения направления рекламы после отказа;</w:t>
      </w:r>
    </w:p>
    <w:p>
      <w:pPr>
        <w:pStyle w:val="ListNumber"/>
      </w:pPr>
      <w:r>
        <w:t>оценки доставки сообщений;</w:t>
      </w:r>
    </w:p>
    <w:p>
      <w:pPr>
        <w:pStyle w:val="ListNumber"/>
      </w:pPr>
      <w:r>
        <w:t>оценки эффективности рассылок;</w:t>
      </w:r>
    </w:p>
    <w:p>
      <w:pPr>
        <w:pStyle w:val="ListNumber"/>
      </w:pPr>
      <w:r>
        <w:t>подготовки предложений, соответствующих доступным возможностям Tunyx;</w:t>
      </w:r>
    </w:p>
    <w:p>
      <w:pPr>
        <w:pStyle w:val="ListNumber"/>
      </w:pPr>
      <w:r>
        <w:t>защиты прав Tunyx при рассмотрении обращений и жалоб.</w:t>
      </w:r>
    </w:p>
    <w:p>
      <w:pPr>
        <w:pStyle w:val="Heading3"/>
      </w:pPr>
      <w:r>
        <w:t>6.2.</w:t>
      </w:r>
    </w:p>
    <w:p>
      <w:r>
        <w:t>Обработка персональных данных в целях прямого продвижения услуг с использованием средств связи допускается при наличии предварительного согласия субъекта. При споре Оператор должен доказать получение согласия.</w:t>
      </w:r>
    </w:p>
    <w:p>
      <w:r>
        <w:t>---</w:t>
      </w:r>
    </w:p>
    <w:p>
      <w:pPr>
        <w:pStyle w:val="Heading1"/>
      </w:pPr>
      <w:r>
        <w:t>7. Действия с персональными данными</w:t>
      </w:r>
    </w:p>
    <w:p>
      <w:pPr>
        <w:pStyle w:val="Heading3"/>
      </w:pPr>
      <w:r>
        <w:t>7.1.</w:t>
      </w:r>
    </w:p>
    <w:p>
      <w:r>
        <w:t>В пределах заявленных целей Tunyx вправе осуществлять:</w:t>
      </w:r>
    </w:p>
    <w:p>
      <w:pPr>
        <w:pStyle w:val="ListBullet"/>
      </w:pPr>
      <w:r>
        <w:t>сбор;</w:t>
      </w:r>
    </w:p>
    <w:p>
      <w:pPr>
        <w:pStyle w:val="ListBullet"/>
      </w:pPr>
      <w:r>
        <w:t>запись;</w:t>
      </w:r>
    </w:p>
    <w:p>
      <w:pPr>
        <w:pStyle w:val="ListBullet"/>
      </w:pPr>
      <w:r>
        <w:t>систематизацию;</w:t>
      </w:r>
    </w:p>
    <w:p>
      <w:pPr>
        <w:pStyle w:val="ListBullet"/>
      </w:pPr>
      <w:r>
        <w:t>накопление;</w:t>
      </w:r>
    </w:p>
    <w:p>
      <w:pPr>
        <w:pStyle w:val="ListBullet"/>
      </w:pPr>
      <w:r>
        <w:t>хранение;</w:t>
      </w:r>
    </w:p>
    <w:p>
      <w:pPr>
        <w:pStyle w:val="ListBullet"/>
      </w:pPr>
      <w:r>
        <w:t>уточнение;</w:t>
      </w:r>
    </w:p>
    <w:p>
      <w:pPr>
        <w:pStyle w:val="ListBullet"/>
      </w:pPr>
      <w:r>
        <w:t>обновление;</w:t>
      </w:r>
    </w:p>
    <w:p>
      <w:pPr>
        <w:pStyle w:val="ListBullet"/>
      </w:pPr>
      <w:r>
        <w:t>изменение;</w:t>
      </w:r>
    </w:p>
    <w:p>
      <w:pPr>
        <w:pStyle w:val="ListBullet"/>
      </w:pPr>
      <w:r>
        <w:t>извлечение;</w:t>
      </w:r>
    </w:p>
    <w:p>
      <w:pPr>
        <w:pStyle w:val="ListBullet"/>
      </w:pPr>
      <w:r>
        <w:t>использование;</w:t>
      </w:r>
    </w:p>
    <w:p>
      <w:pPr>
        <w:pStyle w:val="ListBullet"/>
      </w:pPr>
      <w:r>
        <w:t>сопоставление;</w:t>
      </w:r>
    </w:p>
    <w:p>
      <w:pPr>
        <w:pStyle w:val="ListBullet"/>
      </w:pPr>
      <w:r>
        <w:t>сегментирование;</w:t>
      </w:r>
    </w:p>
    <w:p>
      <w:pPr>
        <w:pStyle w:val="ListBullet"/>
      </w:pPr>
      <w:r>
        <w:t>передачу техническим поставщикам;</w:t>
      </w:r>
    </w:p>
    <w:p>
      <w:pPr>
        <w:pStyle w:val="ListBullet"/>
      </w:pPr>
      <w:r>
        <w:t>предоставление доступа;</w:t>
      </w:r>
    </w:p>
    <w:p>
      <w:pPr>
        <w:pStyle w:val="ListBullet"/>
      </w:pPr>
      <w:r>
        <w:t>блокирование;</w:t>
      </w:r>
    </w:p>
    <w:p>
      <w:pPr>
        <w:pStyle w:val="ListBullet"/>
      </w:pPr>
      <w:r>
        <w:t>удаление;</w:t>
      </w:r>
    </w:p>
    <w:p>
      <w:pPr>
        <w:pStyle w:val="ListBullet"/>
      </w:pPr>
      <w:r>
        <w:t>уничтожение.</w:t>
      </w:r>
    </w:p>
    <w:p>
      <w:pPr>
        <w:pStyle w:val="Heading3"/>
      </w:pPr>
      <w:r>
        <w:t>7.2.</w:t>
      </w:r>
    </w:p>
    <w:p>
      <w:r>
        <w:t>Обработка осуществляется преимущественно автоматизированным способом.</w:t>
      </w:r>
    </w:p>
    <w:p>
      <w:pPr>
        <w:pStyle w:val="Heading3"/>
      </w:pPr>
      <w:r>
        <w:t>7.3.</w:t>
      </w:r>
    </w:p>
    <w:p>
      <w:r>
        <w:t>Ручная обработка может применяться при:</w:t>
      </w:r>
    </w:p>
    <w:p>
      <w:pPr>
        <w:pStyle w:val="ListBullet"/>
      </w:pPr>
      <w:r>
        <w:t>рассмотрении отказа;</w:t>
      </w:r>
    </w:p>
    <w:p>
      <w:pPr>
        <w:pStyle w:val="ListBullet"/>
      </w:pPr>
      <w:r>
        <w:t>обработке жалобы;</w:t>
      </w:r>
    </w:p>
    <w:p>
      <w:pPr>
        <w:pStyle w:val="ListBullet"/>
      </w:pPr>
      <w:r>
        <w:t>исправлении настроек рассылки;</w:t>
      </w:r>
    </w:p>
    <w:p>
      <w:pPr>
        <w:pStyle w:val="ListBullet"/>
      </w:pPr>
      <w:r>
        <w:t>проверке факта предоставления Согласия;</w:t>
      </w:r>
    </w:p>
    <w:p>
      <w:pPr>
        <w:pStyle w:val="ListBullet"/>
      </w:pPr>
      <w:r>
        <w:t>технической поддержке.</w:t>
      </w:r>
    </w:p>
    <w:p>
      <w:r>
        <w:t>---</w:t>
      </w:r>
    </w:p>
    <w:p>
      <w:pPr>
        <w:pStyle w:val="Heading1"/>
      </w:pPr>
      <w:r>
        <w:t>8. Персонализация сообщений</w:t>
      </w:r>
    </w:p>
    <w:p>
      <w:pPr>
        <w:pStyle w:val="Heading3"/>
      </w:pPr>
      <w:r>
        <w:t>8.1.</w:t>
      </w:r>
    </w:p>
    <w:p>
      <w:r>
        <w:t>Tunyx формирует категорийные email-рассылки по выбранным Пользователем будущим музыкальным сервисам. Автоматическое индивидуальное профилирование для рекламной рассылки на дату настоящей редакции не используется.</w:t>
      </w:r>
    </w:p>
    <w:p>
      <w:pPr>
        <w:pStyle w:val="Heading3"/>
      </w:pPr>
      <w:r>
        <w:t>8.2.</w:t>
      </w:r>
    </w:p>
    <w:p>
      <w:r>
        <w:t>Персонализация не должна основываться на:</w:t>
      </w:r>
    </w:p>
    <w:p>
      <w:pPr>
        <w:pStyle w:val="ListBullet"/>
      </w:pPr>
      <w:r>
        <w:t>специальных категориях персональных данных;</w:t>
      </w:r>
    </w:p>
    <w:p>
      <w:pPr>
        <w:pStyle w:val="ListBullet"/>
      </w:pPr>
      <w:r>
        <w:t>биометрических данных;</w:t>
      </w:r>
    </w:p>
    <w:p>
      <w:pPr>
        <w:pStyle w:val="ListBullet"/>
      </w:pPr>
      <w:r>
        <w:t>скрытом анализе чувствительной информации;</w:t>
      </w:r>
    </w:p>
    <w:p>
      <w:pPr>
        <w:pStyle w:val="ListBullet"/>
      </w:pPr>
      <w:r>
        <w:t>данных, использование которых не соответствует заявленной цели.</w:t>
      </w:r>
    </w:p>
    <w:p>
      <w:pPr>
        <w:pStyle w:val="Heading3"/>
      </w:pPr>
      <w:r>
        <w:t>8.3.</w:t>
      </w:r>
    </w:p>
    <w:p>
      <w:r>
        <w:t>До внедрения расширенной персонализации Tunyx должен проверить необходимость актуализации:</w:t>
      </w:r>
    </w:p>
    <w:p>
      <w:pPr>
        <w:pStyle w:val="ListBullet"/>
      </w:pPr>
      <w:r>
        <w:t>настоящего Согласия;</w:t>
      </w:r>
    </w:p>
    <w:p>
      <w:pPr>
        <w:pStyle w:val="ListBullet"/>
      </w:pPr>
      <w:r>
        <w:t>Политики обработки персональных данных;</w:t>
      </w:r>
    </w:p>
    <w:p>
      <w:pPr>
        <w:pStyle w:val="ListBullet"/>
      </w:pPr>
      <w:r>
        <w:t>уведомления Роскомнадзора;</w:t>
      </w:r>
    </w:p>
    <w:p>
      <w:pPr>
        <w:pStyle w:val="ListBullet"/>
      </w:pPr>
      <w:r>
        <w:t>иных применимых документов.</w:t>
      </w:r>
    </w:p>
    <w:p>
      <w:pPr>
        <w:pStyle w:val="Heading3"/>
      </w:pPr>
      <w:r>
        <w:t>8.4.</w:t>
      </w:r>
    </w:p>
    <w:p>
      <w:r>
        <w:t>Сообщение содержит тему и текст кампании, перечень соответствующих музыкальных сервисов и ссылку на настройки интеграций Tunyx.</w:t>
      </w:r>
    </w:p>
    <w:p>
      <w:r>
        <w:t>---</w:t>
      </w:r>
    </w:p>
    <w:p>
      <w:pPr>
        <w:pStyle w:val="Heading1"/>
      </w:pPr>
      <w:r>
        <w:t>9. Сервисные сообщения</w:t>
      </w:r>
    </w:p>
    <w:p>
      <w:pPr>
        <w:pStyle w:val="Heading3"/>
      </w:pPr>
      <w:r>
        <w:t>9.1.</w:t>
      </w:r>
    </w:p>
    <w:p>
      <w:r>
        <w:t>Настоящее Согласие не распространяется на сообщения, необходимые для работы Tunyx и исполнения договора.</w:t>
      </w:r>
    </w:p>
    <w:p>
      <w:pPr>
        <w:pStyle w:val="Heading3"/>
      </w:pPr>
      <w:r>
        <w:t>9.2.</w:t>
      </w:r>
    </w:p>
    <w:p>
      <w:r>
        <w:t>К сервисным сообщениям относятся:</w:t>
      </w:r>
    </w:p>
    <w:p>
      <w:pPr>
        <w:pStyle w:val="ListNumber"/>
      </w:pPr>
      <w:r>
        <w:t>подтверждение регистрации;</w:t>
      </w:r>
    </w:p>
    <w:p>
      <w:pPr>
        <w:pStyle w:val="ListNumber"/>
      </w:pPr>
      <w:r>
        <w:t>восстановление доступа;</w:t>
      </w:r>
    </w:p>
    <w:p>
      <w:pPr>
        <w:pStyle w:val="ListNumber"/>
      </w:pPr>
      <w:r>
        <w:t>сообщения безопасности;</w:t>
      </w:r>
    </w:p>
    <w:p>
      <w:pPr>
        <w:pStyle w:val="ListNumber"/>
      </w:pPr>
      <w:r>
        <w:t>уведомления о входе;</w:t>
      </w:r>
    </w:p>
    <w:p>
      <w:pPr>
        <w:pStyle w:val="ListNumber"/>
      </w:pPr>
      <w:r>
        <w:t>сообщения о созданной операции;</w:t>
      </w:r>
    </w:p>
    <w:p>
      <w:pPr>
        <w:pStyle w:val="ListNumber"/>
      </w:pPr>
      <w:r>
        <w:t>уведомления о ходе и результате операции;</w:t>
      </w:r>
    </w:p>
    <w:p>
      <w:pPr>
        <w:pStyle w:val="ListNumber"/>
      </w:pPr>
      <w:r>
        <w:t>сообщения об ошибках;</w:t>
      </w:r>
    </w:p>
    <w:p>
      <w:pPr>
        <w:pStyle w:val="ListNumber"/>
      </w:pPr>
      <w:r>
        <w:t>уведомления о спорном совпадении;</w:t>
      </w:r>
    </w:p>
    <w:p>
      <w:pPr>
        <w:pStyle w:val="ListNumber"/>
      </w:pPr>
      <w:r>
        <w:t>сообщения о состоянии Подписки;</w:t>
      </w:r>
    </w:p>
    <w:p>
      <w:pPr>
        <w:pStyle w:val="ListNumber"/>
      </w:pPr>
      <w:r>
        <w:t>предварительные уведомления о предстоящем списании;</w:t>
      </w:r>
    </w:p>
    <w:p>
      <w:pPr>
        <w:pStyle w:val="ListNumber"/>
      </w:pPr>
      <w:r>
        <w:t>подтверждения оплаты;</w:t>
      </w:r>
    </w:p>
    <w:p>
      <w:pPr>
        <w:pStyle w:val="ListNumber"/>
      </w:pPr>
      <w:r>
        <w:t>чеки;</w:t>
      </w:r>
    </w:p>
    <w:p>
      <w:pPr>
        <w:pStyle w:val="ListNumber"/>
      </w:pPr>
      <w:r>
        <w:t>сообщения о возврате;</w:t>
      </w:r>
    </w:p>
    <w:p>
      <w:pPr>
        <w:pStyle w:val="ListNumber"/>
      </w:pPr>
      <w:r>
        <w:t>уведомления об изменениях, требующих действия Пользователя;</w:t>
      </w:r>
    </w:p>
    <w:p>
      <w:pPr>
        <w:pStyle w:val="ListNumber"/>
      </w:pPr>
      <w:r>
        <w:t>юридически значимые сообщения;</w:t>
      </w:r>
    </w:p>
    <w:p>
      <w:pPr>
        <w:pStyle w:val="ListNumber"/>
      </w:pPr>
      <w:r>
        <w:t>ответы поддержки.</w:t>
      </w:r>
    </w:p>
    <w:p>
      <w:pPr>
        <w:pStyle w:val="Heading3"/>
      </w:pPr>
      <w:r>
        <w:t>9.3.</w:t>
      </w:r>
    </w:p>
    <w:p>
      <w:r>
        <w:t>Такие сообщения могут направляться без рекламного согласия, если они:</w:t>
      </w:r>
    </w:p>
    <w:p>
      <w:pPr>
        <w:pStyle w:val="ListBullet"/>
      </w:pPr>
      <w:r>
        <w:t>объективно необходимы для оказания услуги;</w:t>
      </w:r>
    </w:p>
    <w:p>
      <w:pPr>
        <w:pStyle w:val="ListBullet"/>
      </w:pPr>
      <w:r>
        <w:t>связаны с запросом Пользователя;</w:t>
      </w:r>
    </w:p>
    <w:p>
      <w:pPr>
        <w:pStyle w:val="ListBullet"/>
      </w:pPr>
      <w:r>
        <w:t>необходимы для исполнения договора;</w:t>
      </w:r>
    </w:p>
    <w:p>
      <w:pPr>
        <w:pStyle w:val="ListBullet"/>
      </w:pPr>
      <w:r>
        <w:t>обязательны по закону;</w:t>
      </w:r>
    </w:p>
    <w:p>
      <w:pPr>
        <w:pStyle w:val="ListBullet"/>
      </w:pPr>
      <w:r>
        <w:t>не содержат самостоятельной рекламной части.</w:t>
      </w:r>
    </w:p>
    <w:p>
      <w:pPr>
        <w:pStyle w:val="Heading3"/>
      </w:pPr>
      <w:r>
        <w:t>9.4.</w:t>
      </w:r>
    </w:p>
    <w:p>
      <w:r>
        <w:t>Если к сервисному сообщению добавляется самостоятельное рекламное предложение, рекламная часть должна направляться только при наличии настоящего Согласия.</w:t>
      </w:r>
    </w:p>
    <w:p>
      <w:pPr>
        <w:pStyle w:val="Heading3"/>
      </w:pPr>
      <w:r>
        <w:t>9.5.</w:t>
      </w:r>
    </w:p>
    <w:p>
      <w:r>
        <w:t>Отказ от рекламной рассылки не прекращает направление необходимых сервисных сообщений.</w:t>
      </w:r>
    </w:p>
    <w:p>
      <w:r>
        <w:t>---</w:t>
      </w:r>
    </w:p>
    <w:p>
      <w:pPr>
        <w:pStyle w:val="Heading1"/>
      </w:pPr>
      <w:r>
        <w:t>10. Частота и время направления</w:t>
      </w:r>
    </w:p>
    <w:p>
      <w:pPr>
        <w:pStyle w:val="Heading3"/>
      </w:pPr>
      <w:r>
        <w:t>10.1.</w:t>
      </w:r>
    </w:p>
    <w:p>
      <w:r>
        <w:t>Tunyx самостоятельно определяет частоту маркетинговых сообщений с учётом:</w:t>
      </w:r>
    </w:p>
    <w:p>
      <w:pPr>
        <w:pStyle w:val="ListBullet"/>
      </w:pPr>
      <w:r>
        <w:t>характера предложения;</w:t>
      </w:r>
    </w:p>
    <w:p>
      <w:pPr>
        <w:pStyle w:val="ListBullet"/>
      </w:pPr>
      <w:r>
        <w:t>выбранного канала;</w:t>
      </w:r>
    </w:p>
    <w:p>
      <w:pPr>
        <w:pStyle w:val="ListBullet"/>
      </w:pPr>
      <w:r>
        <w:t>настроек Пользователя;</w:t>
      </w:r>
    </w:p>
    <w:p>
      <w:pPr>
        <w:pStyle w:val="ListBullet"/>
      </w:pPr>
      <w:r>
        <w:t>необходимости не создавать избыточную нагрузку.</w:t>
      </w:r>
    </w:p>
    <w:p>
      <w:pPr>
        <w:pStyle w:val="Heading3"/>
      </w:pPr>
      <w:r>
        <w:t>10.2.</w:t>
      </w:r>
    </w:p>
    <w:p>
      <w:r>
        <w:t>Настоящее Согласие не означает обязанность Tunyx регулярно направлять рекламу.</w:t>
      </w:r>
    </w:p>
    <w:p>
      <w:pPr>
        <w:pStyle w:val="Heading3"/>
      </w:pPr>
      <w:r>
        <w:t>10.3.</w:t>
      </w:r>
    </w:p>
    <w:p>
      <w:r>
        <w:t>Tunyx вправе временно или полностью прекратить маркетинговые рассылки.</w:t>
      </w:r>
    </w:p>
    <w:p>
      <w:pPr>
        <w:pStyle w:val="Heading3"/>
      </w:pPr>
      <w:r>
        <w:t>10.4.</w:t>
      </w:r>
    </w:p>
    <w:p>
      <w:r>
        <w:t>Tunyx должен стремиться не направлять чрезмерное количество повторяющихся сообщений.</w:t>
      </w:r>
    </w:p>
    <w:p>
      <w:pPr>
        <w:pStyle w:val="Heading3"/>
      </w:pPr>
      <w:r>
        <w:t>10.5.</w:t>
      </w:r>
    </w:p>
    <w:p>
      <w:r>
        <w:t>Если в интерфейсе реализована настройка частоты, применяются параметры, выбранные Пользователем.</w:t>
      </w:r>
    </w:p>
    <w:p>
      <w:r>
        <w:t>---</w:t>
      </w:r>
    </w:p>
    <w:p>
      <w:pPr>
        <w:pStyle w:val="Heading1"/>
      </w:pPr>
      <w:r>
        <w:t>11. Привлекаемые лица</w:t>
      </w:r>
    </w:p>
    <w:p>
      <w:pPr>
        <w:pStyle w:val="Heading3"/>
      </w:pPr>
      <w:r>
        <w:t>11.1.</w:t>
      </w:r>
    </w:p>
    <w:p>
      <w:r>
        <w:t>Для технической доставки email-сообщений Tunyx использует почтовую инфраструктуру Beget.</w:t>
      </w:r>
    </w:p>
    <w:p>
      <w:pPr>
        <w:pStyle w:val="Heading3"/>
      </w:pPr>
      <w:r>
        <w:t>11.2.</w:t>
      </w:r>
    </w:p>
    <w:p>
      <w:r>
        <w:t>Привлекаемым лицам предоставляется только информация, необходимая для конкретного канала доставки.</w:t>
      </w:r>
    </w:p>
    <w:p>
      <w:pPr>
        <w:pStyle w:val="Heading3"/>
      </w:pPr>
      <w:r>
        <w:t>11.3.</w:t>
      </w:r>
    </w:p>
    <w:p>
      <w:r>
        <w:t>Самостоятельное использование такими лицами данных для их собственных рекламных целей не разрешается только на основании настоящего Согласия.</w:t>
      </w:r>
    </w:p>
    <w:p>
      <w:pPr>
        <w:pStyle w:val="Heading3"/>
      </w:pPr>
      <w:r>
        <w:t>11.4.</w:t>
      </w:r>
    </w:p>
    <w:p>
      <w:r>
        <w:t>При поручении обработки персональных данных Tunyx оформляет соответствующие отношения в предусмотренном законодательством порядке.</w:t>
      </w:r>
    </w:p>
    <w:p>
      <w:r>
        <w:t>---</w:t>
      </w:r>
    </w:p>
    <w:p>
      <w:pPr>
        <w:pStyle w:val="Heading1"/>
      </w:pPr>
      <w:r>
        <w:t>12. Подтверждение получения Согласия</w:t>
      </w:r>
    </w:p>
    <w:p>
      <w:pPr>
        <w:pStyle w:val="Heading3"/>
      </w:pPr>
      <w:r>
        <w:t>12.1.</w:t>
      </w:r>
    </w:p>
    <w:p>
      <w:r>
        <w:t>Tunyx вправе хранить сведения, подтверждающие предоставление Согласия:</w:t>
      </w:r>
    </w:p>
    <w:p>
      <w:pPr>
        <w:pStyle w:val="ListNumber"/>
      </w:pPr>
      <w:r>
        <w:t>внутренний ID Пользователя;</w:t>
      </w:r>
    </w:p>
    <w:p>
      <w:pPr>
        <w:pStyle w:val="ListNumber"/>
      </w:pPr>
      <w:r>
        <w:t>email;</w:t>
      </w:r>
    </w:p>
    <w:p>
      <w:pPr>
        <w:pStyle w:val="ListNumber"/>
      </w:pPr>
      <w:r>
        <w:t>выбранный канал;</w:t>
      </w:r>
    </w:p>
    <w:p>
      <w:pPr>
        <w:pStyle w:val="ListNumber"/>
      </w:pPr>
      <w:r>
        <w:t>дату и время;</w:t>
      </w:r>
    </w:p>
    <w:p>
      <w:pPr>
        <w:pStyle w:val="ListNumber"/>
      </w:pPr>
      <w:r>
        <w:t>IP-адрес;</w:t>
      </w:r>
    </w:p>
    <w:p>
      <w:pPr>
        <w:pStyle w:val="ListNumber"/>
      </w:pPr>
      <w:r>
        <w:t>идентификатор сессии;</w:t>
      </w:r>
    </w:p>
    <w:p>
      <w:pPr>
        <w:pStyle w:val="ListNumber"/>
      </w:pPr>
      <w:r>
        <w:t>версию текста Согласия;</w:t>
      </w:r>
    </w:p>
    <w:p>
      <w:pPr>
        <w:pStyle w:val="ListNumber"/>
      </w:pPr>
      <w:r>
        <w:t>текст интерфейсной формулировки;</w:t>
      </w:r>
    </w:p>
    <w:p>
      <w:pPr>
        <w:pStyle w:val="ListNumber"/>
      </w:pPr>
      <w:r>
        <w:t>факт установки чекбокса;</w:t>
      </w:r>
    </w:p>
    <w:p>
      <w:pPr>
        <w:pStyle w:val="ListNumber"/>
      </w:pPr>
      <w:r>
        <w:t>дату и способ отзыва.</w:t>
      </w:r>
    </w:p>
    <w:p>
      <w:pPr>
        <w:pStyle w:val="Heading3"/>
      </w:pPr>
      <w:r>
        <w:t>12.2.</w:t>
      </w:r>
    </w:p>
    <w:p>
      <w:r>
        <w:t>Такие сведения могут сохраняться после отказа в пределах срока, необходимого для:</w:t>
      </w:r>
    </w:p>
    <w:p>
      <w:pPr>
        <w:pStyle w:val="ListBullet"/>
      </w:pPr>
      <w:r>
        <w:t>подтверждения выполнения требований закона;</w:t>
      </w:r>
    </w:p>
    <w:p>
      <w:pPr>
        <w:pStyle w:val="ListBullet"/>
      </w:pPr>
      <w:r>
        <w:t>рассмотрения жалобы;</w:t>
      </w:r>
    </w:p>
    <w:p>
      <w:pPr>
        <w:pStyle w:val="ListBullet"/>
      </w:pPr>
      <w:r>
        <w:t>защиты прав Оператора;</w:t>
      </w:r>
    </w:p>
    <w:p>
      <w:pPr>
        <w:pStyle w:val="ListBullet"/>
      </w:pPr>
      <w:r>
        <w:t>предотвращения повторного подключения без согласия.</w:t>
      </w:r>
    </w:p>
    <w:p>
      <w:pPr>
        <w:pStyle w:val="Heading3"/>
      </w:pPr>
      <w:r>
        <w:t>12.3.</w:t>
      </w:r>
    </w:p>
    <w:p>
      <w:r>
        <w:t>Распространение рекламы считается осуществлённым без предварительного согласия, если рекламораспространитель не способен доказать получение такого согласия.</w:t>
      </w:r>
    </w:p>
    <w:p>
      <w:r>
        <w:t>---</w:t>
      </w:r>
    </w:p>
    <w:p>
      <w:pPr>
        <w:pStyle w:val="Heading1"/>
      </w:pPr>
      <w:r>
        <w:t>13. Срок действия</w:t>
      </w:r>
    </w:p>
    <w:p>
      <w:pPr>
        <w:pStyle w:val="Heading3"/>
      </w:pPr>
      <w:r>
        <w:t>13.1.</w:t>
      </w:r>
    </w:p>
    <w:p>
      <w:r>
        <w:t>Согласие действует с момента его предоставления до наиболее раннего из следующих событий:</w:t>
      </w:r>
    </w:p>
    <w:p>
      <w:pPr>
        <w:pStyle w:val="ListNumber"/>
      </w:pPr>
      <w:r>
        <w:t>его отзыва;</w:t>
      </w:r>
    </w:p>
    <w:p>
      <w:pPr>
        <w:pStyle w:val="ListNumber"/>
      </w:pPr>
      <w:r>
        <w:t>прекращения использования соответствующего канала;</w:t>
      </w:r>
    </w:p>
    <w:p>
      <w:pPr>
        <w:pStyle w:val="ListNumber"/>
      </w:pPr>
      <w:r>
        <w:t>удаления Аккаунта;</w:t>
      </w:r>
    </w:p>
    <w:p>
      <w:pPr>
        <w:pStyle w:val="ListNumber"/>
      </w:pPr>
      <w:r>
        <w:t>прекращения Tunyx соответствующей рассылки;</w:t>
      </w:r>
    </w:p>
    <w:p>
      <w:pPr>
        <w:pStyle w:val="ListNumber"/>
      </w:pPr>
      <w:r>
        <w:t>истечения установленного Tunyx срока, если он будет введён;</w:t>
      </w:r>
    </w:p>
    <w:p>
      <w:pPr>
        <w:pStyle w:val="ListNumber"/>
      </w:pPr>
      <w:r>
        <w:t>наступления иного основания прекращения обработки.</w:t>
      </w:r>
    </w:p>
    <w:p>
      <w:pPr>
        <w:pStyle w:val="Heading3"/>
      </w:pPr>
      <w:r>
        <w:t>13.2.</w:t>
      </w:r>
    </w:p>
    <w:p>
      <w:r>
        <w:t>При удалении Аккаунта рекламные и маркетинговые рассылки, связанные с данным Аккаунтом, прекращаются.</w:t>
      </w:r>
    </w:p>
    <w:p>
      <w:pPr>
        <w:pStyle w:val="Heading3"/>
      </w:pPr>
      <w:r>
        <w:t>13.3.</w:t>
      </w:r>
    </w:p>
    <w:p>
      <w:r>
        <w:t>Отдельные технические сведения о ранее предоставленном и отозванном Согласии могут временно сохраняться для подтверждения законности действий Tunyx.</w:t>
      </w:r>
    </w:p>
    <w:p>
      <w:r>
        <w:t>---</w:t>
      </w:r>
    </w:p>
    <w:p>
      <w:pPr>
        <w:pStyle w:val="Heading1"/>
      </w:pPr>
      <w:r>
        <w:t>14. Отказ от рассылки</w:t>
      </w:r>
    </w:p>
    <w:p>
      <w:pPr>
        <w:pStyle w:val="Heading3"/>
      </w:pPr>
      <w:r>
        <w:t>14.1.</w:t>
      </w:r>
    </w:p>
    <w:p>
      <w:r>
        <w:t>Получатель вправе в любое время отказаться от рекламных и маркетинговых сообщений.</w:t>
      </w:r>
    </w:p>
    <w:p>
      <w:pPr>
        <w:pStyle w:val="Heading3"/>
      </w:pPr>
      <w:r>
        <w:t>14.2.</w:t>
      </w:r>
    </w:p>
    <w:p>
      <w:r>
        <w:t>Отказ осуществляется отключением переключателя «Рекламная рассылка» в настройках Аккаунта либо обращением на `legal@tunyx.ru` или `support@tunyx.ru`.</w:t>
      </w:r>
    </w:p>
    <w:p>
      <w:pPr>
        <w:pStyle w:val="Heading3"/>
      </w:pPr>
      <w:r>
        <w:t>14.3.</w:t>
      </w:r>
    </w:p>
    <w:p>
      <w:r>
        <w:t>В обращении достаточно указать email Аккаунта или иной идентификатор, позволяющий однозначно определить Аккаунт.</w:t>
      </w:r>
    </w:p>
    <w:p>
      <w:pPr>
        <w:pStyle w:val="Heading3"/>
      </w:pPr>
      <w:r>
        <w:t>14.4.</w:t>
      </w:r>
    </w:p>
    <w:p>
      <w:r>
        <w:t>Tunyx вправе запросить дополнительные сведения только в объёме, необходимом для подтверждения принадлежности соответствующего адреса или канала.</w:t>
      </w:r>
    </w:p>
    <w:p>
      <w:pPr>
        <w:pStyle w:val="Heading3"/>
      </w:pPr>
      <w:r>
        <w:t>14.5.</w:t>
      </w:r>
    </w:p>
    <w:p>
      <w:r>
        <w:t>После получения требования Tunyx прекращает направление рекламных сообщений по соответствующему каналу.</w:t>
      </w:r>
    </w:p>
    <w:p>
      <w:r>
        <w:t>Рекламораспространитель обязан немедленно прекратить рассылку в адрес лица, потребовавшего прекратить получение рекламы.</w:t>
      </w:r>
    </w:p>
    <w:p>
      <w:pPr>
        <w:pStyle w:val="Heading3"/>
      </w:pPr>
      <w:r>
        <w:t>14.6.</w:t>
      </w:r>
    </w:p>
    <w:p>
      <w:r>
        <w:t>Техническая обработка отказа может занимать минимальное время, необходимое для обновления систем рассылки. При этом Tunyx не вправе использовать такую обработку для необоснованного продолжения рекламы.</w:t>
      </w:r>
    </w:p>
    <w:p>
      <w:pPr>
        <w:pStyle w:val="Heading3"/>
      </w:pPr>
      <w:r>
        <w:t>14.7.</w:t>
      </w:r>
    </w:p>
    <w:p>
      <w:r>
        <w:t>Отказ от одного канала не должен автоматически считаться отказом от всех каналов, если Пользователь явно не потребовал прекратить всю маркетинговую коммуникацию.</w:t>
      </w:r>
    </w:p>
    <w:p>
      <w:pPr>
        <w:pStyle w:val="Heading3"/>
      </w:pPr>
      <w:r>
        <w:t>14.8.</w:t>
      </w:r>
    </w:p>
    <w:p>
      <w:r>
        <w:t>Пользователь вправе потребовать:</w:t>
      </w:r>
    </w:p>
    <w:p>
      <w:r>
        <w:t xml:space="preserve">&gt; </w:t>
      </w:r>
      <w:r>
        <w:rPr>
          <w:b/>
        </w:rPr>
        <w:t>прекратить все рекламные и маркетинговые сообщения Tunyx по всем связанным с ним каналам.</w:t>
      </w:r>
    </w:p>
    <w:p>
      <w:r>
        <w:t>---</w:t>
      </w:r>
    </w:p>
    <w:p>
      <w:pPr>
        <w:pStyle w:val="Heading1"/>
      </w:pPr>
      <w:r>
        <w:t>15. Последствия отказа</w:t>
      </w:r>
    </w:p>
    <w:p>
      <w:pPr>
        <w:pStyle w:val="Heading3"/>
      </w:pPr>
      <w:r>
        <w:t>15.1.</w:t>
      </w:r>
    </w:p>
    <w:p>
      <w:r>
        <w:t>Отказ от маркетинговых сообщений:</w:t>
      </w:r>
    </w:p>
    <w:p>
      <w:pPr>
        <w:pStyle w:val="ListBullet"/>
      </w:pPr>
      <w:r>
        <w:t>не прекращает действие Аккаунта;</w:t>
      </w:r>
    </w:p>
    <w:p>
      <w:pPr>
        <w:pStyle w:val="ListBullet"/>
      </w:pPr>
      <w:r>
        <w:t>не прекращает текущую Подписку;</w:t>
      </w:r>
    </w:p>
    <w:p>
      <w:pPr>
        <w:pStyle w:val="ListBullet"/>
      </w:pPr>
      <w:r>
        <w:t>не отключает музыкальные интеграции;</w:t>
      </w:r>
    </w:p>
    <w:p>
      <w:pPr>
        <w:pStyle w:val="ListBullet"/>
      </w:pPr>
      <w:r>
        <w:t>не ограничивает основные функции Tunyx;</w:t>
      </w:r>
    </w:p>
    <w:p>
      <w:pPr>
        <w:pStyle w:val="ListBullet"/>
      </w:pPr>
      <w:r>
        <w:t>не отменяет уже оформленный платёж;</w:t>
      </w:r>
    </w:p>
    <w:p>
      <w:pPr>
        <w:pStyle w:val="ListBullet"/>
      </w:pPr>
      <w:r>
        <w:t>не прекращает обязательные сервисные уведомления.</w:t>
      </w:r>
    </w:p>
    <w:p>
      <w:pPr>
        <w:pStyle w:val="Heading3"/>
      </w:pPr>
      <w:r>
        <w:t>15.2.</w:t>
      </w:r>
    </w:p>
    <w:p>
      <w:r>
        <w:t>После отказа Пользователь может не получать:</w:t>
      </w:r>
    </w:p>
    <w:p>
      <w:pPr>
        <w:pStyle w:val="ListBullet"/>
      </w:pPr>
      <w:r>
        <w:t>сведения о скидках;</w:t>
      </w:r>
    </w:p>
    <w:p>
      <w:pPr>
        <w:pStyle w:val="ListBullet"/>
      </w:pPr>
      <w:r>
        <w:t>промокоды;</w:t>
      </w:r>
    </w:p>
    <w:p>
      <w:pPr>
        <w:pStyle w:val="ListBullet"/>
      </w:pPr>
      <w:r>
        <w:t>специальные предложения;</w:t>
      </w:r>
    </w:p>
    <w:p>
      <w:pPr>
        <w:pStyle w:val="ListBullet"/>
      </w:pPr>
      <w:r>
        <w:t>новости о новых функциях;</w:t>
      </w:r>
    </w:p>
    <w:p>
      <w:pPr>
        <w:pStyle w:val="ListBullet"/>
      </w:pPr>
      <w:r>
        <w:t>маркетинговые опросы;</w:t>
      </w:r>
    </w:p>
    <w:p>
      <w:pPr>
        <w:pStyle w:val="ListBullet"/>
      </w:pPr>
      <w:r>
        <w:t>иные рекламные материалы.</w:t>
      </w:r>
    </w:p>
    <w:p>
      <w:pPr>
        <w:pStyle w:val="Heading3"/>
      </w:pPr>
      <w:r>
        <w:t>15.3.</w:t>
      </w:r>
    </w:p>
    <w:p>
      <w:r>
        <w:t>Пользователь вправе предоставить новое Согласие позднее.</w:t>
      </w:r>
    </w:p>
    <w:p>
      <w:r>
        <w:t>---</w:t>
      </w:r>
    </w:p>
    <w:p>
      <w:pPr>
        <w:pStyle w:val="Heading1"/>
      </w:pPr>
      <w:r>
        <w:t>16. Отзыв согласия на обработку персональных данных</w:t>
      </w:r>
    </w:p>
    <w:p>
      <w:pPr>
        <w:pStyle w:val="Heading3"/>
      </w:pPr>
      <w:r>
        <w:t>16.1.</w:t>
      </w:r>
    </w:p>
    <w:p>
      <w:r>
        <w:t>Отказ от рекламной рассылки одновременно означает отзыв согласия на дальнейшую обработку персональных данных исключительно для направления новых рекламных и маркетинговых сообщений по соответствующему каналу.</w:t>
      </w:r>
    </w:p>
    <w:p>
      <w:pPr>
        <w:pStyle w:val="Heading3"/>
      </w:pPr>
      <w:r>
        <w:t>16.2.</w:t>
      </w:r>
    </w:p>
    <w:p>
      <w:r>
        <w:t>Отзыв не прекращает обработку данных, необходимую для:</w:t>
      </w:r>
    </w:p>
    <w:p>
      <w:pPr>
        <w:pStyle w:val="ListBullet"/>
      </w:pPr>
      <w:r>
        <w:t>исполнения договора;</w:t>
      </w:r>
    </w:p>
    <w:p>
      <w:pPr>
        <w:pStyle w:val="ListBullet"/>
      </w:pPr>
      <w:r>
        <w:t>работы Аккаунта;</w:t>
      </w:r>
    </w:p>
    <w:p>
      <w:pPr>
        <w:pStyle w:val="ListBullet"/>
      </w:pPr>
      <w:r>
        <w:t>сервисных уведомлений;</w:t>
      </w:r>
    </w:p>
    <w:p>
      <w:pPr>
        <w:pStyle w:val="ListBullet"/>
      </w:pPr>
      <w:r>
        <w:t>исполнения требований законодательства;</w:t>
      </w:r>
    </w:p>
    <w:p>
      <w:pPr>
        <w:pStyle w:val="ListBullet"/>
      </w:pPr>
      <w:r>
        <w:t>подтверждения ранее предоставленного Согласия;</w:t>
      </w:r>
    </w:p>
    <w:p>
      <w:pPr>
        <w:pStyle w:val="ListBullet"/>
      </w:pPr>
      <w:r>
        <w:t>рассмотрения споров;</w:t>
      </w:r>
    </w:p>
    <w:p>
      <w:pPr>
        <w:pStyle w:val="ListBullet"/>
      </w:pPr>
      <w:r>
        <w:t>иных самостоятельных законных целей.</w:t>
      </w:r>
    </w:p>
    <w:p>
      <w:pPr>
        <w:pStyle w:val="Heading3"/>
      </w:pPr>
      <w:r>
        <w:t>16.3.</w:t>
      </w:r>
    </w:p>
    <w:p>
      <w:r>
        <w:t>Персональные данные, обработка которых больше не требуется и для которых отсутствуют иные основания, удаляются или перестают использоваться в маркетинговых целях.</w:t>
      </w:r>
    </w:p>
    <w:p>
      <w:r>
        <w:t>---</w:t>
      </w:r>
    </w:p>
    <w:p>
      <w:pPr>
        <w:pStyle w:val="Heading1"/>
      </w:pPr>
      <w:r>
        <w:t>17. Права Получателя</w:t>
      </w:r>
    </w:p>
    <w:p>
      <w:pPr>
        <w:pStyle w:val="Heading3"/>
      </w:pPr>
      <w:r>
        <w:t>17.1.</w:t>
      </w:r>
    </w:p>
    <w:p>
      <w:r>
        <w:t>Получатель вправе:</w:t>
      </w:r>
    </w:p>
    <w:p>
      <w:pPr>
        <w:pStyle w:val="ListBullet"/>
      </w:pPr>
      <w:r>
        <w:t>узнать, предоставлено ли рекламное Согласие;</w:t>
      </w:r>
    </w:p>
    <w:p>
      <w:pPr>
        <w:pStyle w:val="ListBullet"/>
      </w:pPr>
      <w:r>
        <w:t>получить сведения о способе его предоставления;</w:t>
      </w:r>
    </w:p>
    <w:p>
      <w:pPr>
        <w:pStyle w:val="ListBullet"/>
      </w:pPr>
      <w:r>
        <w:t>изменить доступные настройки;</w:t>
      </w:r>
    </w:p>
    <w:p>
      <w:pPr>
        <w:pStyle w:val="ListBullet"/>
      </w:pPr>
      <w:r>
        <w:t>отказаться от отдельных каналов;</w:t>
      </w:r>
    </w:p>
    <w:p>
      <w:pPr>
        <w:pStyle w:val="ListBullet"/>
      </w:pPr>
      <w:r>
        <w:t>отказаться от всей рекламы;</w:t>
      </w:r>
    </w:p>
    <w:p>
      <w:pPr>
        <w:pStyle w:val="ListBullet"/>
      </w:pPr>
      <w:r>
        <w:t>отозвать согласие на маркетинговую обработку данных;</w:t>
      </w:r>
    </w:p>
    <w:p>
      <w:pPr>
        <w:pStyle w:val="ListBullet"/>
      </w:pPr>
      <w:r>
        <w:t>потребовать прекращения неправомерной рассылки;</w:t>
      </w:r>
    </w:p>
    <w:p>
      <w:pPr>
        <w:pStyle w:val="ListBullet"/>
      </w:pPr>
      <w:r>
        <w:t>обратиться в Роскомнадзор;</w:t>
      </w:r>
    </w:p>
    <w:p>
      <w:pPr>
        <w:pStyle w:val="ListBullet"/>
      </w:pPr>
      <w:r>
        <w:t>обратиться в Федеральную антимонопольную службу;</w:t>
      </w:r>
    </w:p>
    <w:p>
      <w:pPr>
        <w:pStyle w:val="ListBullet"/>
      </w:pPr>
      <w:r>
        <w:t>защищать свои права в суде.</w:t>
      </w:r>
    </w:p>
    <w:p>
      <w:pPr>
        <w:pStyle w:val="Heading3"/>
      </w:pPr>
      <w:r>
        <w:t>17.2.</w:t>
      </w:r>
    </w:p>
    <w:p>
      <w:r>
        <w:t>ФАС России принимает обращения по фактам рекламы, направляемой без согласия либо после требования прекратить рассылку.</w:t>
      </w:r>
    </w:p>
    <w:p>
      <w:r>
        <w:t>---</w:t>
      </w:r>
    </w:p>
    <w:p>
      <w:pPr>
        <w:pStyle w:val="Heading1"/>
      </w:pPr>
      <w:r>
        <w:t>18. Подтверждения Получателя</w:t>
      </w:r>
    </w:p>
    <w:p>
      <w:r>
        <w:t>Предоставляя Согласие, Получатель подтверждает, что:</w:t>
      </w:r>
    </w:p>
    <w:p>
      <w:pPr>
        <w:pStyle w:val="ListNumber"/>
      </w:pPr>
      <w:r>
        <w:t>ознакомился с настоящим документом;</w:t>
      </w:r>
    </w:p>
    <w:p>
      <w:pPr>
        <w:pStyle w:val="ListNumber"/>
      </w:pPr>
      <w:r>
        <w:t>понимает рекламный характер возможных сообщений;</w:t>
      </w:r>
    </w:p>
    <w:p>
      <w:pPr>
        <w:pStyle w:val="ListNumber"/>
      </w:pPr>
      <w:r>
        <w:t>понимает перечень доступных каналов;</w:t>
      </w:r>
    </w:p>
    <w:p>
      <w:pPr>
        <w:pStyle w:val="ListNumber"/>
      </w:pPr>
      <w:r>
        <w:t>предоставляет Согласие добровольно;</w:t>
      </w:r>
    </w:p>
    <w:p>
      <w:pPr>
        <w:pStyle w:val="ListNumber"/>
      </w:pPr>
      <w:r>
        <w:t>указанные контактные сведения принадлежат ему либо используются им на законном основании;</w:t>
      </w:r>
    </w:p>
    <w:p>
      <w:pPr>
        <w:pStyle w:val="ListNumber"/>
      </w:pPr>
      <w:r>
        <w:t>понимает возможность отказа;</w:t>
      </w:r>
    </w:p>
    <w:p>
      <w:pPr>
        <w:pStyle w:val="ListNumber"/>
      </w:pPr>
      <w:r>
        <w:t>понимает отличие маркетинговых сообщений от сервисных;</w:t>
      </w:r>
    </w:p>
    <w:p>
      <w:pPr>
        <w:pStyle w:val="ListNumber"/>
      </w:pPr>
      <w:r>
        <w:t>достиг возраста, позволяющего самостоятельно предоставить соответствующее согласие, либо действует через законного представителя.</w:t>
      </w:r>
    </w:p>
    <w:p>
      <w:r>
        <w:t>---</w:t>
      </w:r>
    </w:p>
    <w:p>
      <w:pPr>
        <w:pStyle w:val="Heading1"/>
      </w:pPr>
      <w:r>
        <w:t>19. Изменение Согласия</w:t>
      </w:r>
    </w:p>
    <w:p>
      <w:pPr>
        <w:pStyle w:val="Heading3"/>
      </w:pPr>
      <w:r>
        <w:t>19.1.</w:t>
      </w:r>
    </w:p>
    <w:p>
      <w:r>
        <w:t>Tunyx вправе изменять форму настоящего Согласия при:</w:t>
      </w:r>
    </w:p>
    <w:p>
      <w:pPr>
        <w:pStyle w:val="ListBullet"/>
      </w:pPr>
      <w:r>
        <w:t>изменении законодательства;</w:t>
      </w:r>
    </w:p>
    <w:p>
      <w:pPr>
        <w:pStyle w:val="ListBullet"/>
      </w:pPr>
      <w:r>
        <w:t>добавлении новых каналов;</w:t>
      </w:r>
    </w:p>
    <w:p>
      <w:pPr>
        <w:pStyle w:val="ListBullet"/>
      </w:pPr>
      <w:r>
        <w:t>изменении системы рассылок;</w:t>
      </w:r>
    </w:p>
    <w:p>
      <w:pPr>
        <w:pStyle w:val="ListBullet"/>
      </w:pPr>
      <w:r>
        <w:t>изменении состава маркетинговых данных;</w:t>
      </w:r>
    </w:p>
    <w:p>
      <w:pPr>
        <w:pStyle w:val="ListBullet"/>
      </w:pPr>
      <w:r>
        <w:t>изменении поставщиков.</w:t>
      </w:r>
    </w:p>
    <w:p>
      <w:pPr>
        <w:pStyle w:val="Heading3"/>
      </w:pPr>
      <w:r>
        <w:t>19.2.</w:t>
      </w:r>
    </w:p>
    <w:p>
      <w:r>
        <w:t>Существенное расширение:</w:t>
      </w:r>
    </w:p>
    <w:p>
      <w:pPr>
        <w:pStyle w:val="ListBullet"/>
      </w:pPr>
      <w:r>
        <w:t>целей;</w:t>
      </w:r>
    </w:p>
    <w:p>
      <w:pPr>
        <w:pStyle w:val="ListBullet"/>
      </w:pPr>
      <w:r>
        <w:t>каналов;</w:t>
      </w:r>
    </w:p>
    <w:p>
      <w:pPr>
        <w:pStyle w:val="ListBullet"/>
      </w:pPr>
      <w:r>
        <w:t>категорий персональных данных;</w:t>
      </w:r>
    </w:p>
    <w:p>
      <w:pPr>
        <w:pStyle w:val="ListBullet"/>
      </w:pPr>
      <w:r>
        <w:t>круга самостоятельных рекламодателей</w:t>
      </w:r>
    </w:p>
    <w:p>
      <w:r>
        <w:t>может потребовать получения нового Согласия.</w:t>
      </w:r>
    </w:p>
    <w:p>
      <w:pPr>
        <w:pStyle w:val="Heading3"/>
      </w:pPr>
      <w:r>
        <w:t>19.3.</w:t>
      </w:r>
    </w:p>
    <w:p>
      <w:r>
        <w:t>Tunyx не вправе считать, что прежнее Согласие автоматически охватывает принципиально новые цели, о которых Пользователь не был проинформирован.</w:t>
      </w:r>
    </w:p>
    <w:p>
      <w:r>
        <w:t>---</w:t>
      </w:r>
    </w:p>
    <w:p>
      <w:pPr>
        <w:pStyle w:val="Heading1"/>
      </w:pPr>
      <w:r>
        <w:t>20. Контактные сведения</w:t>
      </w:r>
    </w:p>
    <w:p>
      <w:pPr>
        <w:pStyle w:val="Heading2"/>
      </w:pPr>
      <w:r>
        <w:t>20.1. Отказ от рассылки и юридические обращения</w:t>
      </w:r>
    </w:p>
    <w:p>
      <w:r>
        <w:t>`legal@tunyx.ru`</w:t>
      </w:r>
    </w:p>
    <w:p>
      <w:pPr>
        <w:pStyle w:val="Heading2"/>
      </w:pPr>
      <w:r>
        <w:t>20.2. Техническая поддержка</w:t>
      </w:r>
    </w:p>
    <w:p>
      <w:r>
        <w:t>`support@tunyx.ru`</w:t>
      </w:r>
    </w:p>
    <w:p>
      <w:pPr>
        <w:pStyle w:val="Heading2"/>
      </w:pPr>
      <w:r>
        <w:t>20.3. Автоматические сообщения</w:t>
      </w:r>
    </w:p>
    <w:p>
      <w:r>
        <w:t>`no-reply@tunyx.ru`</w:t>
      </w:r>
    </w:p>
    <w:p>
      <w:pPr>
        <w:pStyle w:val="Heading3"/>
      </w:pPr>
      <w:r>
        <w:t>20.4.</w:t>
      </w:r>
    </w:p>
    <w:p>
      <w:r>
        <w:t>Адрес `no-reply@tunyx.ru` не предназначен для направления отказа, если приём входящих сообщений на нём технически не поддерживается.</w:t>
      </w:r>
    </w:p>
    <w:p>
      <w:r>
        <w:t>---</w:t>
      </w:r>
    </w:p>
    <w:p>
      <w:pPr>
        <w:pStyle w:val="Heading1"/>
      </w:pPr>
      <w:r>
        <w:t>21. Сведения об Операторе</w:t>
      </w:r>
    </w:p>
    <w:p>
      <w:r>
        <w:rPr>
          <w:b/>
        </w:rPr>
        <w:t>Оператор и рекламодатель: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Юридические обращения и отказ от рассылки:</w:t>
      </w:r>
      <w:r>
        <w:t xml:space="preserve"> `legal@tunyx.ru`</w:t>
      </w:r>
    </w:p>
    <w:p>
      <w:r>
        <w:rPr>
          <w:b/>
        </w:rPr>
        <w:t>Техническая поддержка:</w:t>
      </w:r>
      <w:r>
        <w:t xml:space="preserve"> `support@tunyx.ru`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