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БЕЗОПАСНОСТЬ TUNYX</w:t>
      </w:r>
    </w:p>
    <w:p>
      <w:r>
        <w:rPr>
          <w:b/>
        </w:rPr>
        <w:t>Редакция от 16 августа 2026 года</w:t>
      </w:r>
    </w:p>
    <w:p>
      <w:r>
        <w:t>Настоящий документ описывает фактически реализованные базовые меры защиты Tunyx, границы ответственности сервиса и действия Пользователя при подозрении на инцидент.</w:t>
      </w:r>
    </w:p>
    <w:p>
      <w:r>
        <w:t>---</w:t>
      </w:r>
    </w:p>
    <w:p>
      <w:pPr>
        <w:pStyle w:val="Heading1"/>
      </w:pPr>
      <w:r>
        <w:t>1. Защищённое соединение</w:t>
      </w:r>
    </w:p>
    <w:p>
      <w:pPr>
        <w:pStyle w:val="Heading3"/>
      </w:pPr>
      <w:r>
        <w:t>1.1.</w:t>
      </w:r>
    </w:p>
    <w:p>
      <w:r>
        <w:t>Публичный сайт и API Tunyx доступны по HTTPS на домене `tunyx.ru`.</w:t>
      </w:r>
    </w:p>
    <w:p>
      <w:pPr>
        <w:pStyle w:val="Heading3"/>
      </w:pPr>
      <w:r>
        <w:t>1.2.</w:t>
      </w:r>
    </w:p>
    <w:p>
      <w:r>
        <w:t>В production сессионные cookies передаются с признаком Secure и ограничением SameSite=Lax.</w:t>
      </w:r>
    </w:p>
    <w:p>
      <w:pPr>
        <w:pStyle w:val="Heading3"/>
      </w:pPr>
      <w:r>
        <w:t>1.3.</w:t>
      </w:r>
    </w:p>
    <w:p>
      <w:r>
        <w:t>Пользователю следует проверять адрес сайта перед вводом учётных данных или подтверждением подключения внешнего сервиса.</w:t>
      </w:r>
    </w:p>
    <w:p>
      <w:r>
        <w:t>---</w:t>
      </w:r>
    </w:p>
    <w:p>
      <w:pPr>
        <w:pStyle w:val="Heading1"/>
      </w:pPr>
      <w:r>
        <w:t>2. Пароли и вход</w:t>
      </w:r>
    </w:p>
    <w:p>
      <w:pPr>
        <w:pStyle w:val="Heading3"/>
      </w:pPr>
      <w:r>
        <w:t>2.1.</w:t>
      </w:r>
    </w:p>
    <w:p>
      <w:r>
        <w:t>Tunyx не хранит пароль Аккаунта в открытом виде. В базе сохраняется стойкий результат хеширования пароля.</w:t>
      </w:r>
    </w:p>
    <w:p>
      <w:pPr>
        <w:pStyle w:val="Heading3"/>
      </w:pPr>
      <w:r>
        <w:t>2.2.</w:t>
      </w:r>
    </w:p>
    <w:p>
      <w:r>
        <w:t>Для регистрации, входа, повторной отправки подтверждения и ряда чувствительных действий применяются ограничения частоты запросов.</w:t>
      </w:r>
    </w:p>
    <w:p>
      <w:pPr>
        <w:pStyle w:val="Heading3"/>
      </w:pPr>
      <w:r>
        <w:t>2.3.</w:t>
      </w:r>
    </w:p>
    <w:p>
      <w:r>
        <w:t>Адрес электронной почты подтверждается предусмотренным сервисом способом, если требование подтверждения включено в production.</w:t>
      </w:r>
    </w:p>
    <w:p>
      <w:pPr>
        <w:pStyle w:val="Heading3"/>
      </w:pPr>
      <w:r>
        <w:t>2.4.</w:t>
      </w:r>
    </w:p>
    <w:p>
      <w:r>
        <w:t>Пользователь может изменить пароль в настройках Аккаунта. При подозрении на доступ постороннего лица пароль следует изменить незамедлительно.</w:t>
      </w:r>
    </w:p>
    <w:p>
      <w:r>
        <w:t>---</w:t>
      </w:r>
    </w:p>
    <w:p>
      <w:pPr>
        <w:pStyle w:val="Heading1"/>
      </w:pPr>
      <w:r>
        <w:t>3. Сессии</w:t>
      </w:r>
    </w:p>
    <w:p>
      <w:pPr>
        <w:pStyle w:val="Heading3"/>
      </w:pPr>
      <w:r>
        <w:t>3.1.</w:t>
      </w:r>
    </w:p>
    <w:p>
      <w:r>
        <w:t>Состояние входа поддерживается защищённой серверной сессией. Идентификатор сессии хранится в cookie и не должен передаваться другим лицам.</w:t>
      </w:r>
    </w:p>
    <w:p>
      <w:pPr>
        <w:pStyle w:val="Heading3"/>
      </w:pPr>
      <w:r>
        <w:t>3.2.</w:t>
      </w:r>
    </w:p>
    <w:p>
      <w:r>
        <w:t>Для административной панели используется отдельная сессия, срок действия и отдельный CSRF-токен для изменяющих запросов.</w:t>
      </w:r>
    </w:p>
    <w:p>
      <w:pPr>
        <w:pStyle w:val="Heading3"/>
      </w:pPr>
      <w:r>
        <w:t>3.3.</w:t>
      </w:r>
    </w:p>
    <w:p>
      <w:r>
        <w:t>Административные сессии могут быть отозваны, а административные действия записываются в журнал аудита.</w:t>
      </w:r>
    </w:p>
    <w:p>
      <w:r>
        <w:t>---</w:t>
      </w:r>
    </w:p>
    <w:p>
      <w:pPr>
        <w:pStyle w:val="Heading1"/>
      </w:pPr>
      <w:r>
        <w:t>4. Музыкальные интеграции</w:t>
      </w:r>
    </w:p>
    <w:p>
      <w:pPr>
        <w:pStyle w:val="Heading3"/>
      </w:pPr>
      <w:r>
        <w:t>4.1.</w:t>
      </w:r>
    </w:p>
    <w:p>
      <w:r>
        <w:t>Секреты и токены подключённых музыкальных сервисов сохраняются в зашифрованном виде с использованием ключа приложения.</w:t>
      </w:r>
    </w:p>
    <w:p>
      <w:pPr>
        <w:pStyle w:val="Heading3"/>
      </w:pPr>
      <w:r>
        <w:t>4.2.</w:t>
      </w:r>
    </w:p>
    <w:p>
      <w:r>
        <w:t>Tunyx использует токены только для действий, связанных с выбранными Пользователем переносами, синхронизацией, проверкой подключения и управлением интеграцией.</w:t>
      </w:r>
    </w:p>
    <w:p>
      <w:pPr>
        <w:pStyle w:val="Heading3"/>
      </w:pPr>
      <w:r>
        <w:t>4.3.</w:t>
      </w:r>
    </w:p>
    <w:p>
      <w:r>
        <w:t>Интеграцию можно отключить в настройках. После этого Tunyx удаляет сохранённые данные подключения для соответствующего сервиса.</w:t>
      </w:r>
    </w:p>
    <w:p>
      <w:pPr>
        <w:pStyle w:val="Heading3"/>
      </w:pPr>
      <w:r>
        <w:t>4.4.</w:t>
      </w:r>
    </w:p>
    <w:p>
      <w:r>
        <w:t>Для дополнительного прекращения доступа Пользователь может отозвать разрешение Tunyx в настройках Яндекса, TIDAL или Spotify.</w:t>
      </w:r>
    </w:p>
    <w:p>
      <w:pPr>
        <w:pStyle w:val="Heading3"/>
      </w:pPr>
      <w:r>
        <w:t>4.5.</w:t>
      </w:r>
    </w:p>
    <w:p>
      <w:r>
        <w:t>Сотрудник поддержки не должен просить Пользователя сообщить пароль музыкального сервиса или действующий OAuth-токен.</w:t>
      </w:r>
    </w:p>
    <w:p>
      <w:r>
        <w:t>---</w:t>
      </w:r>
    </w:p>
    <w:p>
      <w:pPr>
        <w:pStyle w:val="Heading1"/>
      </w:pPr>
      <w:r>
        <w:t>5. Платежи</w:t>
      </w:r>
    </w:p>
    <w:p>
      <w:pPr>
        <w:pStyle w:val="Heading3"/>
      </w:pPr>
      <w:r>
        <w:t>5.1.</w:t>
      </w:r>
    </w:p>
    <w:p>
      <w:r>
        <w:t>Платёжные реквизиты вводятся на стороне ЮKassa или банка. Tunyx не хранит полный номер карты, срок её действия и CVC/CVV.</w:t>
      </w:r>
    </w:p>
    <w:p>
      <w:pPr>
        <w:pStyle w:val="Heading3"/>
      </w:pPr>
      <w:r>
        <w:t>5.2.</w:t>
      </w:r>
    </w:p>
    <w:p>
      <w:r>
        <w:t>Tunyx хранит технический идентификатор платёжного средства, общий тип, служебное название, состояние, признак основного средства и связь с Аккаунтом.</w:t>
      </w:r>
    </w:p>
    <w:p>
      <w:pPr>
        <w:pStyle w:val="Heading3"/>
      </w:pPr>
      <w:r>
        <w:t>5.3.</w:t>
      </w:r>
    </w:p>
    <w:p>
      <w:r>
        <w:t>Результат платежа применяется после серверной обработки ответа или уведомления ЮKassa. Для повторяемых операций используются ключи идемпотентности, снижающие риск двойной обработки одного запроса.</w:t>
      </w:r>
    </w:p>
    <w:p>
      <w:pPr>
        <w:pStyle w:val="Heading3"/>
      </w:pPr>
      <w:r>
        <w:t>5.4.</w:t>
      </w:r>
    </w:p>
    <w:p>
      <w:r>
        <w:t>Пользователь не должен передавать Tunyx одноразовый банковский код, CVC/CVV или пароль интернет-банка.</w:t>
      </w:r>
    </w:p>
    <w:p>
      <w:r>
        <w:t>---</w:t>
      </w:r>
    </w:p>
    <w:p>
      <w:pPr>
        <w:pStyle w:val="Heading1"/>
      </w:pPr>
      <w:r>
        <w:t>6. Разграничение доступа</w:t>
      </w:r>
    </w:p>
    <w:p>
      <w:pPr>
        <w:pStyle w:val="Heading3"/>
      </w:pPr>
      <w:r>
        <w:t>6.1.</w:t>
      </w:r>
    </w:p>
    <w:p>
      <w:r>
        <w:t>Пользовательские API проверяют действующую сессию и принадлежность запрашиваемых объектов Аккаунту.</w:t>
      </w:r>
    </w:p>
    <w:p>
      <w:pPr>
        <w:pStyle w:val="Heading3"/>
      </w:pPr>
      <w:r>
        <w:t>6.2.</w:t>
      </w:r>
    </w:p>
    <w:p>
      <w:r>
        <w:t>Административные функции отделены от пользовательских и требуют отдельной административной авторизации.</w:t>
      </w:r>
    </w:p>
    <w:p>
      <w:pPr>
        <w:pStyle w:val="Heading3"/>
      </w:pPr>
      <w:r>
        <w:t>6.3.</w:t>
      </w:r>
    </w:p>
    <w:p>
      <w:r>
        <w:t>Секреты конфигурации не размещаются в публичных страницах и не должны включаться в обращения поддержки.</w:t>
      </w:r>
    </w:p>
    <w:p>
      <w:r>
        <w:t>---</w:t>
      </w:r>
    </w:p>
    <w:p>
      <w:pPr>
        <w:pStyle w:val="Heading1"/>
      </w:pPr>
      <w:r>
        <w:t>7. Журналирование и диагностика</w:t>
      </w:r>
    </w:p>
    <w:p>
      <w:pPr>
        <w:pStyle w:val="Heading3"/>
      </w:pPr>
      <w:r>
        <w:t>7.1.</w:t>
      </w:r>
    </w:p>
    <w:p>
      <w:r>
        <w:t>Tunyx сохраняет технические журналы, статусы операций, ошибки и административный аудит в объёме, необходимом для работы, диагностики, защиты и рассмотрения обращений.</w:t>
      </w:r>
    </w:p>
    <w:p>
      <w:pPr>
        <w:pStyle w:val="Heading3"/>
      </w:pPr>
      <w:r>
        <w:t>7.2.</w:t>
      </w:r>
    </w:p>
    <w:p>
      <w:r>
        <w:t>Журналы не предназначены для хранения полных платёжных реквизитов или паролей.</w:t>
      </w:r>
    </w:p>
    <w:p>
      <w:pPr>
        <w:pStyle w:val="Heading3"/>
      </w:pPr>
      <w:r>
        <w:t>7.3.</w:t>
      </w:r>
    </w:p>
    <w:p>
      <w:r>
        <w:t>При передаче диагностических данных Пользователь должен удалить секреты и сведения других лиц.</w:t>
      </w:r>
    </w:p>
    <w:p>
      <w:r>
        <w:t>---</w:t>
      </w:r>
    </w:p>
    <w:p>
      <w:pPr>
        <w:pStyle w:val="Heading1"/>
      </w:pPr>
      <w:r>
        <w:t>8. Действия Пользователя</w:t>
      </w:r>
    </w:p>
    <w:p>
      <w:r>
        <w:t>Пользователю рекомендуется:</w:t>
      </w:r>
    </w:p>
    <w:p>
      <w:pPr>
        <w:pStyle w:val="ListNumber"/>
      </w:pPr>
      <w:r>
        <w:t>использовать уникальный пароль;</w:t>
      </w:r>
    </w:p>
    <w:p>
      <w:pPr>
        <w:pStyle w:val="ListNumber"/>
      </w:pPr>
      <w:r>
        <w:t>защищать доступ к электронной почте;</w:t>
      </w:r>
    </w:p>
    <w:p>
      <w:pPr>
        <w:pStyle w:val="ListNumber"/>
      </w:pPr>
      <w:r>
        <w:t>не передавать коды, пароли и токены;</w:t>
      </w:r>
    </w:p>
    <w:p>
      <w:pPr>
        <w:pStyle w:val="ListNumber"/>
      </w:pPr>
      <w:r>
        <w:t>проверять домен `tunyx.ru`;</w:t>
      </w:r>
    </w:p>
    <w:p>
      <w:pPr>
        <w:pStyle w:val="ListNumber"/>
      </w:pPr>
      <w:r>
        <w:t>отключать незнакомые интеграции;</w:t>
      </w:r>
    </w:p>
    <w:p>
      <w:pPr>
        <w:pStyle w:val="ListNumber"/>
      </w:pPr>
      <w:r>
        <w:t>проверять результаты спорных музыкальных совпадений;</w:t>
      </w:r>
    </w:p>
    <w:p>
      <w:pPr>
        <w:pStyle w:val="ListNumber"/>
      </w:pPr>
      <w:r>
        <w:t>обращаться в поддержку при неожиданном платеже или операции;</w:t>
      </w:r>
    </w:p>
    <w:p>
      <w:pPr>
        <w:pStyle w:val="ListNumber"/>
      </w:pPr>
      <w:r>
        <w:t>обновлять браузер и Android-приложение из доверенного источника.</w:t>
      </w:r>
    </w:p>
    <w:p>
      <w:r>
        <w:t>---</w:t>
      </w:r>
    </w:p>
    <w:p>
      <w:pPr>
        <w:pStyle w:val="Heading1"/>
      </w:pPr>
      <w:r>
        <w:t>9. Android-приложение</w:t>
      </w:r>
    </w:p>
    <w:p>
      <w:pPr>
        <w:pStyle w:val="Heading3"/>
      </w:pPr>
      <w:r>
        <w:t>9.1.</w:t>
      </w:r>
    </w:p>
    <w:p>
      <w:r>
        <w:t>На дату настоящей редакции Android-приложение использует сетевой доступ к Tunyx и локальное хранение данных, необходимых для работы приложения.</w:t>
      </w:r>
    </w:p>
    <w:p>
      <w:pPr>
        <w:pStyle w:val="Heading3"/>
      </w:pPr>
      <w:r>
        <w:t>9.2.</w:t>
      </w:r>
    </w:p>
    <w:p>
      <w:r>
        <w:t>В приложении не подключены Firebase Cloud Messaging, другой push-провайдер или аналитический SDK.</w:t>
      </w:r>
    </w:p>
    <w:p>
      <w:pPr>
        <w:pStyle w:val="Heading3"/>
      </w:pPr>
      <w:r>
        <w:t>9.3.</w:t>
      </w:r>
    </w:p>
    <w:p>
      <w:r>
        <w:t>Push-токены пользователей не создаются и не передаются Tunyx. До запуска push-уведомлений документация должна быть обновлена.</w:t>
      </w:r>
    </w:p>
    <w:p>
      <w:r>
        <w:t>---</w:t>
      </w:r>
    </w:p>
    <w:p>
      <w:pPr>
        <w:pStyle w:val="Heading1"/>
      </w:pPr>
      <w:r>
        <w:t>10. Сообщение об уязвимости или инциденте</w:t>
      </w:r>
    </w:p>
    <w:p>
      <w:pPr>
        <w:pStyle w:val="Heading3"/>
      </w:pPr>
      <w:r>
        <w:t>10.1.</w:t>
      </w:r>
    </w:p>
    <w:p>
      <w:r>
        <w:t>Сообщение направляется на:</w:t>
      </w:r>
    </w:p>
    <w:p>
      <w:r>
        <w:t>`support@tunyx.ru`</w:t>
      </w:r>
    </w:p>
    <w:p>
      <w:r>
        <w:t>с темой «Безопасность».</w:t>
      </w:r>
    </w:p>
    <w:p>
      <w:pPr>
        <w:pStyle w:val="Heading3"/>
      </w:pPr>
      <w:r>
        <w:t>10.2.</w:t>
      </w:r>
    </w:p>
    <w:p>
      <w:r>
        <w:t>В сообщении полезно указать:</w:t>
      </w:r>
    </w:p>
    <w:p>
      <w:pPr>
        <w:pStyle w:val="ListBullet"/>
      </w:pPr>
      <w:r>
        <w:t>затронутую страницу или функцию;</w:t>
      </w:r>
    </w:p>
    <w:p>
      <w:pPr>
        <w:pStyle w:val="ListBullet"/>
      </w:pPr>
      <w:r>
        <w:t>дату и время;</w:t>
      </w:r>
    </w:p>
    <w:p>
      <w:pPr>
        <w:pStyle w:val="ListBullet"/>
      </w:pPr>
      <w:r>
        <w:t>последовательность действий;</w:t>
      </w:r>
    </w:p>
    <w:p>
      <w:pPr>
        <w:pStyle w:val="ListBullet"/>
      </w:pPr>
      <w:r>
        <w:t>наблюдаемый результат;</w:t>
      </w:r>
    </w:p>
    <w:p>
      <w:pPr>
        <w:pStyle w:val="ListBullet"/>
      </w:pPr>
      <w:r>
        <w:t>безопасные технические данные без паролей и токенов.</w:t>
      </w:r>
    </w:p>
    <w:p>
      <w:pPr>
        <w:pStyle w:val="Heading3"/>
      </w:pPr>
      <w:r>
        <w:t>10.3.</w:t>
      </w:r>
    </w:p>
    <w:p>
      <w:r>
        <w:t>Не следует публиковать рабочий эксплойт, получать доступ к чужим данным, изменять чужие объекты или продолжать проверку после обнаружения риска для других пользователей.</w:t>
      </w:r>
    </w:p>
    <w:p>
      <w:pPr>
        <w:pStyle w:val="Heading3"/>
      </w:pPr>
      <w:r>
        <w:t>10.4.</w:t>
      </w:r>
    </w:p>
    <w:p>
      <w:r>
        <w:t>Юридическое обращение о персональных данных направляется на:</w:t>
      </w:r>
    </w:p>
    <w:p>
      <w:r>
        <w:t>`legal@tunyx.ru`</w:t>
      </w:r>
    </w:p>
    <w:p>
      <w:r>
        <w:t>---</w:t>
      </w:r>
    </w:p>
    <w:p>
      <w:pPr>
        <w:pStyle w:val="Heading1"/>
      </w:pPr>
      <w:r>
        <w:t>11. Ограничение гарантий</w:t>
      </w:r>
    </w:p>
    <w:p>
      <w:pPr>
        <w:pStyle w:val="Heading3"/>
      </w:pPr>
      <w:r>
        <w:t>11.1.</w:t>
      </w:r>
    </w:p>
    <w:p>
      <w:r>
        <w:t>Применяемые меры снижают риски, но не делают интернет-систему абсолютно неуязвимой.</w:t>
      </w:r>
    </w:p>
    <w:p>
      <w:pPr>
        <w:pStyle w:val="Heading3"/>
      </w:pPr>
      <w:r>
        <w:t>11.2.</w:t>
      </w:r>
    </w:p>
    <w:p>
      <w:r>
        <w:t>Tunyx пересматривает меры защиты при изменении функций, инфраструктуры и известных угроз.</w:t>
      </w:r>
    </w:p>
    <w:p>
      <w:pPr>
        <w:pStyle w:val="Heading3"/>
      </w:pPr>
      <w:r>
        <w:t>11.3.</w:t>
      </w:r>
    </w:p>
    <w:p>
      <w:r>
        <w:t>Интеграции и платежи также зависят от мер безопасности и доступности соответствующих внешних поставщиков.</w:t>
      </w:r>
    </w:p>
    <w:p>
      <w:r>
        <w:t>---</w:t>
      </w:r>
    </w:p>
    <w:p>
      <w:pPr>
        <w:pStyle w:val="Heading1"/>
      </w:pPr>
      <w:r>
        <w:t>12. Связанные документы</w:t>
      </w:r>
    </w:p>
    <w:p>
      <w:pPr>
        <w:pStyle w:val="ListBullet"/>
      </w:pPr>
      <w:r>
        <w:t>Политика конфиденциальности;</w:t>
      </w:r>
    </w:p>
    <w:p>
      <w:pPr>
        <w:pStyle w:val="ListBullet"/>
      </w:pPr>
      <w:r>
        <w:t>Политика обработки персональных данных;</w:t>
      </w:r>
    </w:p>
    <w:p>
      <w:pPr>
        <w:pStyle w:val="ListBullet"/>
      </w:pPr>
      <w:r>
        <w:t>Политика безопасности платежей;</w:t>
      </w:r>
    </w:p>
    <w:p>
      <w:pPr>
        <w:pStyle w:val="ListBullet"/>
      </w:pPr>
      <w:r>
        <w:t>Удаление аккаунта, данных и отключение интеграций;</w:t>
      </w:r>
    </w:p>
    <w:p>
      <w:pPr>
        <w:pStyle w:val="ListBullet"/>
      </w:pPr>
      <w:r>
        <w:t>Порядок направления обращений и претензий.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